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22F83" w14:textId="5F7AEE79" w:rsidR="00A213FE" w:rsidRPr="00A213FE" w:rsidRDefault="00A213FE" w:rsidP="00A213FE">
      <w:pPr>
        <w:rPr>
          <w:b/>
          <w:bCs/>
          <w:color w:val="0070C0"/>
        </w:rPr>
      </w:pPr>
      <w:r w:rsidRPr="00A213FE">
        <w:rPr>
          <w:b/>
          <w:bCs/>
          <w:color w:val="0070C0"/>
        </w:rPr>
        <w:t>Anexa 14.2 Reglementări europene și naționale, cadrul strategic, documente programatice aplicabile</w:t>
      </w:r>
    </w:p>
    <w:p w14:paraId="44526052" w14:textId="77777777" w:rsidR="00A213FE" w:rsidRPr="00A213FE" w:rsidRDefault="00A213FE" w:rsidP="00A213FE"/>
    <w:tbl>
      <w:tblPr>
        <w:tblStyle w:val="TableGrid"/>
        <w:tblW w:w="10574" w:type="dxa"/>
        <w:tblInd w:w="-645" w:type="dxa"/>
        <w:tblLook w:val="04A0" w:firstRow="1" w:lastRow="0" w:firstColumn="1" w:lastColumn="0" w:noHBand="0" w:noVBand="1"/>
      </w:tblPr>
      <w:tblGrid>
        <w:gridCol w:w="2070"/>
        <w:gridCol w:w="8504"/>
      </w:tblGrid>
      <w:tr w:rsidR="00A213FE" w14:paraId="28C0D64D" w14:textId="77777777" w:rsidTr="00A213FE">
        <w:tc>
          <w:tcPr>
            <w:tcW w:w="2070" w:type="dxa"/>
            <w:tcBorders>
              <w:top w:val="single" w:sz="12" w:space="0" w:color="auto"/>
              <w:left w:val="single" w:sz="12" w:space="0" w:color="auto"/>
              <w:bottom w:val="single" w:sz="12" w:space="0" w:color="auto"/>
              <w:right w:val="single" w:sz="12" w:space="0" w:color="auto"/>
            </w:tcBorders>
          </w:tcPr>
          <w:p w14:paraId="21AB3CD0" w14:textId="77777777" w:rsidR="00A213FE" w:rsidRPr="00A213FE" w:rsidRDefault="00A213FE" w:rsidP="00A213FE">
            <w:pPr>
              <w:pStyle w:val="5Normal"/>
              <w:rPr>
                <w:rFonts w:asciiTheme="minorHAnsi" w:hAnsiTheme="minorHAnsi" w:cstheme="minorHAnsi"/>
                <w:b/>
                <w:bCs/>
                <w:color w:val="0070C0"/>
                <w:szCs w:val="22"/>
              </w:rPr>
            </w:pPr>
            <w:r w:rsidRPr="00A213FE">
              <w:rPr>
                <w:rFonts w:asciiTheme="minorHAnsi" w:hAnsiTheme="minorHAnsi" w:cstheme="minorHAnsi"/>
                <w:b/>
                <w:bCs/>
                <w:color w:val="0070C0"/>
                <w:szCs w:val="22"/>
              </w:rPr>
              <w:t>Reglementări europene:</w:t>
            </w:r>
          </w:p>
          <w:p w14:paraId="0BB7F27C" w14:textId="77777777" w:rsidR="00A213FE" w:rsidRPr="00A213FE" w:rsidRDefault="00A213FE" w:rsidP="00A213FE">
            <w:pPr>
              <w:pStyle w:val="5Normal"/>
              <w:rPr>
                <w:rFonts w:asciiTheme="minorHAnsi" w:hAnsiTheme="minorHAnsi" w:cstheme="minorHAnsi"/>
                <w:b/>
                <w:bCs/>
                <w:color w:val="0070C0"/>
                <w:szCs w:val="22"/>
              </w:rPr>
            </w:pPr>
          </w:p>
        </w:tc>
        <w:tc>
          <w:tcPr>
            <w:tcW w:w="8504" w:type="dxa"/>
            <w:tcBorders>
              <w:top w:val="single" w:sz="12" w:space="0" w:color="auto"/>
              <w:left w:val="single" w:sz="12" w:space="0" w:color="auto"/>
              <w:bottom w:val="single" w:sz="12" w:space="0" w:color="auto"/>
              <w:right w:val="single" w:sz="12" w:space="0" w:color="auto"/>
            </w:tcBorders>
          </w:tcPr>
          <w:p w14:paraId="456A7781" w14:textId="77777777" w:rsidR="00A213FE" w:rsidRDefault="00A213FE" w:rsidP="00A213FE">
            <w:pPr>
              <w:numPr>
                <w:ilvl w:val="0"/>
                <w:numId w:val="3"/>
              </w:numPr>
              <w:pBdr>
                <w:top w:val="nil"/>
                <w:left w:val="nil"/>
                <w:bottom w:val="nil"/>
                <w:right w:val="nil"/>
                <w:between w:val="nil"/>
              </w:pBdr>
              <w:spacing w:before="0" w:after="0"/>
            </w:pPr>
            <w:r>
              <w:rPr>
                <w:color w:val="000000"/>
              </w:rPr>
              <w:t>Regulamentul (UE) nr. 2496/2022 de modificare a Regulamentului (UE) nr. 2020/2093 de stabilire a cadrului financiar multianual pentru perioada 2021-2027;</w:t>
            </w:r>
          </w:p>
          <w:p w14:paraId="20777CD0" w14:textId="77777777" w:rsidR="00A213FE" w:rsidRPr="00272F42" w:rsidRDefault="00A213FE" w:rsidP="00A213FE">
            <w:pPr>
              <w:pStyle w:val="ListParagraph"/>
              <w:numPr>
                <w:ilvl w:val="0"/>
                <w:numId w:val="3"/>
              </w:numPr>
              <w:spacing w:before="0" w:after="0"/>
              <w:ind w:left="714" w:hanging="357"/>
              <w:rPr>
                <w:rFonts w:cstheme="minorHAnsi"/>
              </w:rPr>
            </w:pPr>
            <w:r w:rsidRPr="00272F42">
              <w:rPr>
                <w:rFonts w:cstheme="minorHAnsi"/>
              </w:rPr>
              <w:t>Regulamentul (UE) nr. 2018/1046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nr. 966/2012</w:t>
            </w:r>
          </w:p>
          <w:p w14:paraId="22FBEF16" w14:textId="77777777" w:rsidR="00A213FE" w:rsidRDefault="00A213FE" w:rsidP="00A213FE">
            <w:pPr>
              <w:pStyle w:val="ListParagraph"/>
              <w:numPr>
                <w:ilvl w:val="0"/>
                <w:numId w:val="3"/>
              </w:numPr>
              <w:spacing w:before="0" w:after="0"/>
              <w:ind w:left="714" w:hanging="357"/>
              <w:rPr>
                <w:rFonts w:asciiTheme="minorHAnsi" w:hAnsiTheme="minorHAnsi" w:cstheme="minorHAnsi"/>
              </w:rPr>
            </w:pPr>
            <w:r>
              <w:rPr>
                <w:rFonts w:cstheme="minorHAnsi"/>
              </w:rPr>
              <w:t>Regulamentul (UE) 1060/2021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360FE952" w14:textId="77777777" w:rsidR="00A213FE" w:rsidRDefault="00A213FE" w:rsidP="00A213FE">
            <w:pPr>
              <w:pStyle w:val="ListParagraph"/>
              <w:numPr>
                <w:ilvl w:val="0"/>
                <w:numId w:val="3"/>
              </w:numPr>
              <w:spacing w:before="0" w:after="0"/>
              <w:ind w:left="714" w:hanging="357"/>
              <w:rPr>
                <w:rFonts w:cstheme="minorHAnsi"/>
              </w:rPr>
            </w:pPr>
            <w:r>
              <w:rPr>
                <w:rFonts w:cstheme="minorHAnsi"/>
              </w:rPr>
              <w:t>Regulamentul (UE) 1056/2021 de instituire a Fondului pentru o Tranziție Justă</w:t>
            </w:r>
          </w:p>
          <w:p w14:paraId="1B76CFD3" w14:textId="77777777" w:rsidR="00A213FE" w:rsidRDefault="00A213FE" w:rsidP="00A213FE">
            <w:pPr>
              <w:pStyle w:val="ListParagraph"/>
              <w:numPr>
                <w:ilvl w:val="0"/>
                <w:numId w:val="3"/>
              </w:numPr>
              <w:spacing w:before="0" w:after="0"/>
              <w:ind w:left="714" w:hanging="357"/>
              <w:rPr>
                <w:rFonts w:cstheme="minorHAnsi"/>
              </w:rPr>
            </w:pPr>
            <w:r>
              <w:rPr>
                <w:rFonts w:cstheme="minorHAnsi"/>
              </w:rPr>
              <w:t xml:space="preserve">Regulamentul (UE) 852/2020 privind instituirea unui cadru care să faciliteze investițiile durabile și de modificare a Regulamentului (UE) 2019/2088 și a actelor delegate subsecvente </w:t>
            </w:r>
          </w:p>
          <w:p w14:paraId="380F8DBF" w14:textId="77777777" w:rsidR="00A213FE" w:rsidRDefault="00A213FE" w:rsidP="00A213FE">
            <w:pPr>
              <w:pStyle w:val="ListParagraph"/>
              <w:numPr>
                <w:ilvl w:val="0"/>
                <w:numId w:val="3"/>
              </w:numPr>
              <w:spacing w:before="0" w:after="0"/>
              <w:ind w:left="714" w:hanging="357"/>
              <w:rPr>
                <w:rFonts w:cstheme="minorHAnsi"/>
              </w:rPr>
            </w:pPr>
            <w:r>
              <w:rPr>
                <w:rFonts w:cstheme="minorHAnsi"/>
              </w:rPr>
              <w:t>Regulamentul delegat (UE) 2139/2021 de completare a Regulamentului (UE) 2020/852 prin stabilirea criteriilor tehnice de examinare pentru a determina condițiile în care o activitate economică se califică drept activitate care contribuie în mod substanțial la atenuarea schimbărilor climatice sau la adaptarea la schimbările climatice și pentru a stabili dacă activitatea economică respectivă aduce prejudicii semnificative vreunuia dintre celelalte obiective de mediu</w:t>
            </w:r>
          </w:p>
          <w:p w14:paraId="47BDA5CA" w14:textId="77777777" w:rsidR="00A213FE" w:rsidRDefault="00A213FE" w:rsidP="00A213FE">
            <w:pPr>
              <w:pStyle w:val="ListParagraph"/>
              <w:numPr>
                <w:ilvl w:val="0"/>
                <w:numId w:val="3"/>
              </w:numPr>
              <w:spacing w:before="0" w:after="0"/>
              <w:ind w:left="714" w:hanging="357"/>
              <w:rPr>
                <w:rFonts w:cstheme="minorHAnsi"/>
              </w:rPr>
            </w:pPr>
            <w:r>
              <w:rPr>
                <w:rFonts w:cstheme="minorHAnsi"/>
              </w:rPr>
              <w:t>Comunicarea Comisiei C(2021) 373/1 16 septembrie 2021. Orientări tehnice referitoare la imunizarea infrastructurii la schimbările climatice în perioada ;</w:t>
            </w:r>
          </w:p>
          <w:p w14:paraId="518E0236" w14:textId="77777777" w:rsidR="00A213FE" w:rsidRDefault="00A213FE" w:rsidP="00A213FE">
            <w:pPr>
              <w:pStyle w:val="ListParagraph"/>
              <w:numPr>
                <w:ilvl w:val="0"/>
                <w:numId w:val="3"/>
              </w:numPr>
              <w:spacing w:before="0" w:after="0"/>
              <w:ind w:left="714" w:hanging="357"/>
              <w:rPr>
                <w:rFonts w:cstheme="minorHAnsi"/>
              </w:rPr>
            </w:pPr>
            <w:r>
              <w:rPr>
                <w:rFonts w:cstheme="minorHAnsi"/>
              </w:rPr>
              <w:t>Comunicarea Comisiei C(2021) 1054 final din 12 februarie 2021. Orientări tehnice privind aplicarea principiului de ”a nu prejudicial în mod semnificativ” în temeiul Regulamentului privind Mecanismul de redresare și reziliență;</w:t>
            </w:r>
          </w:p>
          <w:p w14:paraId="4FF7A490" w14:textId="77777777" w:rsidR="00A213FE" w:rsidRDefault="00A213FE" w:rsidP="00A213FE">
            <w:pPr>
              <w:spacing w:before="0" w:after="0"/>
              <w:rPr>
                <w:rFonts w:cstheme="minorHAnsi"/>
              </w:rPr>
            </w:pPr>
            <w:r>
              <w:rPr>
                <w:rFonts w:cstheme="minorHAnsi"/>
              </w:rPr>
              <w:t>_______________________________</w:t>
            </w:r>
          </w:p>
          <w:p w14:paraId="6A710512" w14:textId="77777777" w:rsidR="00A213FE" w:rsidRPr="00443E90" w:rsidRDefault="00A213FE" w:rsidP="00A213FE">
            <w:pPr>
              <w:pStyle w:val="ListParagraph"/>
              <w:numPr>
                <w:ilvl w:val="0"/>
                <w:numId w:val="3"/>
              </w:numPr>
              <w:spacing w:before="0" w:after="0"/>
              <w:ind w:left="714" w:hanging="357"/>
              <w:rPr>
                <w:rFonts w:cstheme="minorHAnsi"/>
              </w:rPr>
            </w:pPr>
            <w:r>
              <w:rPr>
                <w:rFonts w:cstheme="minorHAnsi"/>
              </w:rPr>
              <w:t xml:space="preserve">Regulamentul UE nr. </w:t>
            </w:r>
            <w:r>
              <w:t xml:space="preserve">651/2014 de declarare a anumitor categorii de ajutoare compatibile cu piața internă în aplicarea articolelor 107 și 108 din tratat </w:t>
            </w:r>
          </w:p>
          <w:p w14:paraId="0CDC7ECD" w14:textId="77777777" w:rsidR="00A213FE" w:rsidRPr="00443E90" w:rsidRDefault="00A213FE" w:rsidP="00A213FE">
            <w:pPr>
              <w:pStyle w:val="ListParagraph"/>
              <w:numPr>
                <w:ilvl w:val="0"/>
                <w:numId w:val="3"/>
              </w:numPr>
              <w:spacing w:before="0" w:after="0"/>
              <w:ind w:left="714" w:hanging="357"/>
              <w:rPr>
                <w:rFonts w:cstheme="minorHAnsi"/>
              </w:rPr>
            </w:pPr>
            <w:r>
              <w:rPr>
                <w:rFonts w:cstheme="minorHAnsi"/>
              </w:rPr>
              <w:t xml:space="preserve">Regulamentul UE nr. </w:t>
            </w:r>
            <w:r>
              <w:t>1407/2013 AL COMISIEI din 18 decembrie 2013 privind aplicarea articolelor 107 și 108 din Tratatul privind funcționarea Uniunii Europene ajutoarelor de minimis</w:t>
            </w:r>
          </w:p>
          <w:p w14:paraId="23A05CAE" w14:textId="77777777" w:rsidR="00FA22A0" w:rsidRPr="00853AAB" w:rsidRDefault="00A213FE" w:rsidP="00FA22A0">
            <w:pPr>
              <w:pStyle w:val="ListParagraph"/>
              <w:numPr>
                <w:ilvl w:val="0"/>
                <w:numId w:val="3"/>
              </w:numPr>
              <w:spacing w:before="0" w:after="0"/>
              <w:ind w:left="714" w:hanging="357"/>
              <w:rPr>
                <w:rFonts w:cstheme="minorHAnsi"/>
              </w:rPr>
            </w:pPr>
            <w:r>
              <w:t>Comunicare a Comisiei privind noțiunea de ajutor de stat astfel cum este menționată la articolul 107 alineatul (1) din Tratatul privind funcționarea Uniunii Europene (2016/C 262/01)</w:t>
            </w:r>
          </w:p>
          <w:p w14:paraId="3B5E3122" w14:textId="2DE48F02" w:rsidR="00FA22A0" w:rsidRPr="00853AAB" w:rsidRDefault="00853AAB" w:rsidP="00853AAB">
            <w:pPr>
              <w:pStyle w:val="ListParagraph"/>
              <w:numPr>
                <w:ilvl w:val="0"/>
                <w:numId w:val="3"/>
              </w:numPr>
              <w:spacing w:before="0" w:after="0"/>
              <w:ind w:left="714" w:hanging="357"/>
              <w:rPr>
                <w:rFonts w:cstheme="minorHAnsi"/>
              </w:rPr>
            </w:pPr>
            <w:r w:rsidRPr="00C4444D">
              <w:rPr>
                <w:rFonts w:asciiTheme="minorHAnsi" w:hAnsiTheme="minorHAnsi" w:cstheme="minorHAnsi"/>
                <w:color w:val="333333"/>
                <w:shd w:val="clear" w:color="auto" w:fill="FFFFFF"/>
              </w:rPr>
              <w:lastRenderedPageBreak/>
              <w:t>Comunicarea Comisiei privind definirea pieței relevante în sensul dreptului comunitar al concurenței (97/C 372/03)</w:t>
            </w:r>
          </w:p>
          <w:p w14:paraId="4ED5F645" w14:textId="5A1038C1" w:rsidR="00A213FE" w:rsidRPr="00FA22A0" w:rsidRDefault="00A213FE" w:rsidP="00FA22A0">
            <w:pPr>
              <w:pStyle w:val="ListParagraph"/>
              <w:spacing w:before="0" w:after="0"/>
              <w:ind w:left="714"/>
              <w:rPr>
                <w:rFonts w:cstheme="minorHAnsi"/>
              </w:rPr>
            </w:pPr>
            <w:r w:rsidRPr="00FA22A0">
              <w:rPr>
                <w:rFonts w:cstheme="minorHAnsi"/>
              </w:rPr>
              <w:t>_____________________</w:t>
            </w:r>
          </w:p>
          <w:p w14:paraId="015590EF" w14:textId="77777777" w:rsidR="00A213FE" w:rsidRDefault="00A213FE" w:rsidP="00A213FE">
            <w:pPr>
              <w:pStyle w:val="ListParagraph"/>
              <w:numPr>
                <w:ilvl w:val="0"/>
                <w:numId w:val="3"/>
              </w:numPr>
              <w:spacing w:before="0" w:after="0"/>
              <w:ind w:left="714" w:hanging="357"/>
              <w:rPr>
                <w:rFonts w:cstheme="minorHAnsi"/>
              </w:rPr>
            </w:pPr>
            <w:r>
              <w:rPr>
                <w:rFonts w:cstheme="minorHAnsi"/>
              </w:rPr>
              <w:t>Carta drepturilor fundamentale a Uniunii Europene (2010/C 83/02);</w:t>
            </w:r>
          </w:p>
          <w:p w14:paraId="4AA5DF77" w14:textId="77777777" w:rsidR="00A213FE" w:rsidRDefault="00A213FE" w:rsidP="00A213FE">
            <w:pPr>
              <w:pStyle w:val="ListParagraph"/>
              <w:numPr>
                <w:ilvl w:val="0"/>
                <w:numId w:val="3"/>
              </w:numPr>
              <w:spacing w:before="0" w:after="0"/>
              <w:ind w:left="714" w:hanging="357"/>
              <w:rPr>
                <w:rFonts w:cstheme="minorHAnsi"/>
              </w:rPr>
            </w:pPr>
            <w:r>
              <w:rPr>
                <w:rFonts w:cstheme="minorHAnsi"/>
              </w:rPr>
              <w:t>Directiva (UE) 54/2006 a Parlamentului European şi a Consiliului din 5 iulie 2006 privind punerea în aplicare a principiului egalității de șanse şi al egalității de tratament între bărbaţi şi femei în materie de încadrare în muncă şi de muncă;</w:t>
            </w:r>
          </w:p>
          <w:p w14:paraId="587AAC60" w14:textId="77777777" w:rsidR="00A213FE" w:rsidRDefault="00A213FE" w:rsidP="00A213FE">
            <w:pPr>
              <w:pStyle w:val="ListParagraph"/>
              <w:numPr>
                <w:ilvl w:val="0"/>
                <w:numId w:val="3"/>
              </w:numPr>
              <w:spacing w:before="0" w:after="0"/>
              <w:ind w:left="714" w:hanging="357"/>
              <w:rPr>
                <w:rFonts w:cstheme="minorHAnsi"/>
              </w:rPr>
            </w:pPr>
            <w:r>
              <w:rPr>
                <w:rFonts w:cstheme="minorHAnsi"/>
              </w:rPr>
              <w:t>Directiva (UE) 113/2004 a Consiliului din 13 decembrie 2004 de aplicare a principiului egalității de tratament între femei şi bărbați privind accesul la bunuri şi servicii şi furnizarea de bunuri şi servicii;</w:t>
            </w:r>
          </w:p>
          <w:p w14:paraId="7533C380" w14:textId="77777777" w:rsidR="00A213FE" w:rsidRDefault="00A213FE" w:rsidP="00A213FE">
            <w:pPr>
              <w:pStyle w:val="ListParagraph"/>
              <w:numPr>
                <w:ilvl w:val="0"/>
                <w:numId w:val="3"/>
              </w:numPr>
              <w:spacing w:before="0" w:after="0"/>
              <w:ind w:left="714" w:hanging="357"/>
              <w:rPr>
                <w:rFonts w:cstheme="minorHAnsi"/>
              </w:rPr>
            </w:pPr>
            <w:r>
              <w:rPr>
                <w:rFonts w:cstheme="minorHAnsi"/>
              </w:rPr>
              <w:t>Directiva (UE) 79/7 a Consiliului din 19 decembrie 1978 privind aplicarea treptată a principiului egalității de tratament între bărbați şi femei în domeniul securității sociale;</w:t>
            </w:r>
          </w:p>
          <w:p w14:paraId="5DE00387" w14:textId="77777777" w:rsidR="00A213FE" w:rsidRDefault="00A213FE" w:rsidP="00A213FE">
            <w:pPr>
              <w:pStyle w:val="ListParagraph"/>
              <w:numPr>
                <w:ilvl w:val="0"/>
                <w:numId w:val="3"/>
              </w:numPr>
              <w:spacing w:before="0" w:after="0"/>
              <w:ind w:left="714" w:hanging="357"/>
              <w:rPr>
                <w:rFonts w:cstheme="minorHAnsi"/>
              </w:rPr>
            </w:pPr>
            <w:r>
              <w:rPr>
                <w:rFonts w:cstheme="minorHAnsi"/>
              </w:rPr>
              <w:t>Directiva UE 2000/78/CE din 27 noiembrie 2000 de creare a unui cadru general în favoarea egalității de tratament în ceea ce privește încadrarea în muncă și ocuparea forței de muncă</w:t>
            </w:r>
          </w:p>
          <w:p w14:paraId="75F43FF6" w14:textId="77777777" w:rsidR="00A213FE" w:rsidRDefault="00A213FE" w:rsidP="00A213FE">
            <w:pPr>
              <w:pStyle w:val="ListParagraph"/>
              <w:numPr>
                <w:ilvl w:val="0"/>
                <w:numId w:val="3"/>
              </w:numPr>
              <w:spacing w:before="0" w:after="0"/>
              <w:ind w:left="714" w:hanging="357"/>
              <w:rPr>
                <w:rFonts w:cstheme="minorHAnsi"/>
              </w:rPr>
            </w:pPr>
            <w:r>
              <w:rPr>
                <w:rFonts w:cstheme="minorHAnsi"/>
              </w:rPr>
              <w:t>Directiva (UE) 75/117 a Consiliului din 10 februarie 1975 privind apropierea legislațiilor statelor membre referitoare la aplicarea principiului egalității de remunerare între lucrătorii de sex masculin şi cei de sex feminin;</w:t>
            </w:r>
          </w:p>
          <w:p w14:paraId="3646AC1D" w14:textId="77777777" w:rsidR="00A213FE" w:rsidRDefault="00A213FE" w:rsidP="00A213FE">
            <w:pPr>
              <w:pStyle w:val="ListParagraph"/>
              <w:numPr>
                <w:ilvl w:val="0"/>
                <w:numId w:val="3"/>
              </w:numPr>
              <w:spacing w:before="0" w:after="0"/>
              <w:ind w:left="714" w:hanging="357"/>
              <w:rPr>
                <w:rFonts w:cstheme="minorHAnsi"/>
              </w:rPr>
            </w:pPr>
            <w:r>
              <w:rPr>
                <w:rFonts w:cstheme="minorHAnsi"/>
              </w:rPr>
              <w:t>Convenția ONU privind Drepturile Persoanelor cu Dizabilități adoptată la 13 decembrie 2006 de către Adunarea Generală a ONU;</w:t>
            </w:r>
          </w:p>
          <w:p w14:paraId="5045B62B" w14:textId="77777777" w:rsidR="00A213FE" w:rsidRDefault="00A213FE" w:rsidP="00A213FE">
            <w:pPr>
              <w:pStyle w:val="ListParagraph"/>
              <w:numPr>
                <w:ilvl w:val="0"/>
                <w:numId w:val="3"/>
              </w:numPr>
              <w:spacing w:before="0" w:after="0"/>
              <w:ind w:left="714" w:hanging="357"/>
              <w:rPr>
                <w:rFonts w:cstheme="minorHAnsi"/>
              </w:rPr>
            </w:pPr>
            <w:r>
              <w:rPr>
                <w:rFonts w:cstheme="minorHAnsi"/>
              </w:rPr>
              <w:t>Directiva (UE) 882/2019 a Parlamentului European și a Consiliului din 17 aprilie 2019 privind cerințele de accesibilitate aplicabile produselor și serviciilor;</w:t>
            </w:r>
          </w:p>
          <w:p w14:paraId="1D6A5D19" w14:textId="77777777" w:rsidR="00A213FE" w:rsidRDefault="00A213FE" w:rsidP="00A213FE">
            <w:pPr>
              <w:pStyle w:val="ListParagraph"/>
              <w:numPr>
                <w:ilvl w:val="0"/>
                <w:numId w:val="3"/>
              </w:numPr>
              <w:spacing w:before="0" w:after="0"/>
              <w:ind w:left="714" w:hanging="357"/>
              <w:rPr>
                <w:rFonts w:cstheme="minorHAnsi"/>
              </w:rPr>
            </w:pPr>
            <w:r>
              <w:rPr>
                <w:rFonts w:cstheme="minorHAnsi"/>
              </w:rPr>
              <w:t>Directiva (UE) 43/2000 a Consiliului din 29 iunie 2000, cu privire la implementarea principiului tratamentului egal între persoane indiferent de originea rasială sau etnică;</w:t>
            </w:r>
          </w:p>
          <w:p w14:paraId="2ADE2F14" w14:textId="75875BDE" w:rsidR="00A213FE" w:rsidRPr="00A213FE" w:rsidRDefault="00A213FE" w:rsidP="00A213FE">
            <w:pPr>
              <w:pStyle w:val="ListParagraph"/>
              <w:numPr>
                <w:ilvl w:val="0"/>
                <w:numId w:val="3"/>
              </w:numPr>
              <w:spacing w:before="0" w:after="0"/>
              <w:ind w:left="714" w:hanging="357"/>
              <w:rPr>
                <w:rFonts w:cstheme="minorHAnsi"/>
              </w:rPr>
            </w:pPr>
            <w:r>
              <w:rPr>
                <w:rFonts w:cstheme="minorHAnsi"/>
              </w:rPr>
              <w:t>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tc>
      </w:tr>
      <w:tr w:rsidR="00A213FE" w14:paraId="78E8C51F" w14:textId="77777777" w:rsidTr="00A213FE">
        <w:tc>
          <w:tcPr>
            <w:tcW w:w="2070" w:type="dxa"/>
            <w:tcBorders>
              <w:top w:val="single" w:sz="12" w:space="0" w:color="auto"/>
            </w:tcBorders>
          </w:tcPr>
          <w:p w14:paraId="08EA1F1E" w14:textId="6339FFEA" w:rsidR="00A213FE" w:rsidRPr="00A213FE" w:rsidRDefault="00A213FE" w:rsidP="00A213FE">
            <w:pPr>
              <w:pStyle w:val="5Normal"/>
              <w:rPr>
                <w:rFonts w:asciiTheme="minorHAnsi" w:hAnsiTheme="minorHAnsi" w:cstheme="minorHAnsi"/>
                <w:b/>
                <w:bCs/>
                <w:color w:val="0070C0"/>
                <w:szCs w:val="22"/>
              </w:rPr>
            </w:pPr>
            <w:r w:rsidRPr="00A213FE">
              <w:rPr>
                <w:rFonts w:asciiTheme="minorHAnsi" w:hAnsiTheme="minorHAnsi" w:cstheme="minorHAnsi"/>
                <w:b/>
                <w:bCs/>
                <w:color w:val="0070C0"/>
                <w:szCs w:val="22"/>
              </w:rPr>
              <w:lastRenderedPageBreak/>
              <w:t>Reglementări naționale:</w:t>
            </w:r>
          </w:p>
        </w:tc>
        <w:tc>
          <w:tcPr>
            <w:tcW w:w="8504" w:type="dxa"/>
            <w:tcBorders>
              <w:top w:val="single" w:sz="12" w:space="0" w:color="auto"/>
            </w:tcBorders>
          </w:tcPr>
          <w:p w14:paraId="1F8F98D2" w14:textId="77777777" w:rsidR="00A213FE" w:rsidRDefault="00A213FE" w:rsidP="00A213FE">
            <w:pPr>
              <w:pStyle w:val="ListParagraph"/>
              <w:numPr>
                <w:ilvl w:val="0"/>
                <w:numId w:val="3"/>
              </w:numPr>
              <w:spacing w:before="0" w:after="0"/>
              <w:rPr>
                <w:rFonts w:asciiTheme="minorHAnsi" w:hAnsiTheme="minorHAnsi" w:cstheme="minorHAnsi"/>
              </w:rPr>
            </w:pPr>
            <w:bookmarkStart w:id="0" w:name="_Hlk133408585"/>
            <w:r>
              <w:rPr>
                <w:rFonts w:cstheme="minorHAnsi"/>
              </w:rPr>
              <w:t>OUG nr. 23/2023 privind instituirea unor măsuri de simplificare și digitalizare pentru gestionarea fondurilor europene aferente Politicii de coeziune 2021—2027</w:t>
            </w:r>
          </w:p>
          <w:bookmarkEnd w:id="0"/>
          <w:p w14:paraId="62E66530" w14:textId="77777777" w:rsidR="00A213FE" w:rsidRDefault="00A213FE" w:rsidP="00A213FE">
            <w:pPr>
              <w:pStyle w:val="ListParagraph"/>
              <w:numPr>
                <w:ilvl w:val="0"/>
                <w:numId w:val="3"/>
              </w:numPr>
              <w:spacing w:before="0" w:after="0"/>
              <w:rPr>
                <w:rFonts w:cstheme="minorHAnsi"/>
              </w:rPr>
            </w:pPr>
            <w:r>
              <w:rPr>
                <w:rFonts w:cstheme="minorHAnsi"/>
              </w:rPr>
              <w:t>OUG nr. 66/2011 privind prevenirea, constatarea şi sancționarea neregulilor apărute în obţinerea şi utilizarea fondurilor europene şi/sau a fondurilor publice naţionale aferente acestora;</w:t>
            </w:r>
          </w:p>
          <w:p w14:paraId="3BC4C56B" w14:textId="77777777" w:rsidR="00A213FE" w:rsidRDefault="00A213FE" w:rsidP="00A213FE">
            <w:pPr>
              <w:pStyle w:val="ListParagraph"/>
              <w:numPr>
                <w:ilvl w:val="0"/>
                <w:numId w:val="3"/>
              </w:numPr>
              <w:spacing w:before="0" w:after="0"/>
              <w:rPr>
                <w:rFonts w:cstheme="minorHAnsi"/>
              </w:rPr>
            </w:pPr>
            <w:r>
              <w:rPr>
                <w:rFonts w:cstheme="minorHAnsi"/>
              </w:rPr>
              <w:t>Hotărârea Guvernului nr. 875/2011 pentru aprobarea Normelor metodologice de aplicare a prevederilor Ordonanței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06D671B1" w14:textId="77777777" w:rsidR="00A213FE" w:rsidRDefault="00A213FE" w:rsidP="00A213FE">
            <w:pPr>
              <w:pStyle w:val="ListParagraph"/>
              <w:numPr>
                <w:ilvl w:val="0"/>
                <w:numId w:val="3"/>
              </w:numPr>
              <w:spacing w:before="0" w:after="0"/>
              <w:rPr>
                <w:rFonts w:cstheme="minorHAnsi"/>
              </w:rPr>
            </w:pPr>
            <w:r>
              <w:rPr>
                <w:rFonts w:cstheme="minorHAnsi"/>
              </w:rPr>
              <w:t>OUG nr. 133/2021 privind gestionarea financiară a fondurilor europene în perioada de programare 2021-2027 alocate României din Fondul european de dezvoltare regională, Fondul de coeziune, Fondul social european Plus, Fondul pentru o tranziție justă ;</w:t>
            </w:r>
          </w:p>
          <w:p w14:paraId="6BD44247" w14:textId="77777777" w:rsidR="00A213FE" w:rsidRDefault="00A213FE" w:rsidP="00A213FE">
            <w:pPr>
              <w:pStyle w:val="ListParagraph"/>
              <w:numPr>
                <w:ilvl w:val="0"/>
                <w:numId w:val="3"/>
              </w:numPr>
              <w:spacing w:before="0" w:after="0"/>
              <w:rPr>
                <w:rStyle w:val="sden"/>
                <w:bCs/>
                <w:bdr w:val="none" w:sz="0" w:space="0" w:color="auto" w:frame="1"/>
                <w:shd w:val="clear" w:color="auto" w:fill="FFFFFF"/>
              </w:rPr>
            </w:pPr>
            <w:r>
              <w:rPr>
                <w:rStyle w:val="sden"/>
                <w:rFonts w:cstheme="minorHAnsi"/>
                <w:bCs/>
                <w:bdr w:val="none" w:sz="0" w:space="0" w:color="auto" w:frame="1"/>
                <w:shd w:val="clear" w:color="auto" w:fill="FFFFFF"/>
              </w:rPr>
              <w:lastRenderedPageBreak/>
              <w:t xml:space="preserve">HG nr. 829/2022 </w:t>
            </w:r>
            <w:r>
              <w:rPr>
                <w:rStyle w:val="sden"/>
                <w:rFonts w:cstheme="minorHAnsi"/>
              </w:rPr>
              <w:t>pentru aprobarea </w:t>
            </w:r>
            <w:hyperlink r:id="rId7" w:history="1">
              <w:r>
                <w:rPr>
                  <w:rStyle w:val="sden"/>
                  <w:rFonts w:cstheme="minorHAnsi"/>
                </w:rPr>
                <w:t>Normelor metodologice</w:t>
              </w:r>
            </w:hyperlink>
            <w:r>
              <w:rPr>
                <w:rStyle w:val="sden"/>
                <w:rFonts w:cstheme="minorHAnsi"/>
              </w:rPr>
              <w:t> de aplicare a </w:t>
            </w:r>
            <w:hyperlink r:id="rId8" w:history="1">
              <w:r>
                <w:rPr>
                  <w:rStyle w:val="sden"/>
                  <w:rFonts w:cstheme="minorHAnsi"/>
                </w:rPr>
                <w:t>Ordonanței de urgență a Guvernului nr. 133/2021</w:t>
              </w:r>
            </w:hyperlink>
            <w:r>
              <w:rPr>
                <w:rStyle w:val="sden"/>
                <w:rFonts w:cstheme="minorHAnsi"/>
              </w:rPr>
              <w:t> privind gestionarea financiară a fondurilor europene pentru perioada de programare 2021-2027 alocate României din Fondul european de dezvoltare regională, Fondul de coeziune, Fondul social european Plus, Fondul pentru o tranziție justă;</w:t>
            </w:r>
          </w:p>
          <w:p w14:paraId="48FF99B9" w14:textId="77777777" w:rsidR="00A213FE" w:rsidRDefault="00A213FE" w:rsidP="00A213FE">
            <w:pPr>
              <w:pStyle w:val="ListParagraph"/>
              <w:numPr>
                <w:ilvl w:val="0"/>
                <w:numId w:val="3"/>
              </w:numPr>
              <w:spacing w:before="0" w:after="0"/>
            </w:pPr>
            <w:r>
              <w:rPr>
                <w:rFonts w:cstheme="minorHAnsi"/>
              </w:rPr>
              <w:t xml:space="preserve">HG nr. </w:t>
            </w:r>
            <w:r>
              <w:rPr>
                <w:rFonts w:eastAsia="Times New Roman" w:cstheme="minorHAnsi"/>
                <w:iCs/>
                <w:caps/>
              </w:rPr>
              <w:t xml:space="preserve">873/2022 </w:t>
            </w:r>
            <w:r>
              <w:rPr>
                <w:rFonts w:eastAsia="Times New Roman" w:cstheme="minorHAnsi"/>
                <w:iCs/>
              </w:rPr>
              <w:t>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10B938D5" w14:textId="505343C5" w:rsidR="00A213FE" w:rsidRDefault="00A213FE" w:rsidP="00A213FE">
            <w:pPr>
              <w:pStyle w:val="ListParagraph"/>
              <w:numPr>
                <w:ilvl w:val="0"/>
                <w:numId w:val="3"/>
              </w:numPr>
              <w:spacing w:before="0" w:after="0"/>
              <w:rPr>
                <w:rFonts w:cstheme="minorHAnsi"/>
              </w:rPr>
            </w:pPr>
            <w:bookmarkStart w:id="1" w:name="_Hlk133408598"/>
            <w:r>
              <w:rPr>
                <w:rFonts w:cstheme="minorHAnsi"/>
              </w:rPr>
              <w:t>Ordinul MIPE nr.</w:t>
            </w:r>
            <w:r w:rsidR="00853AAB">
              <w:rPr>
                <w:rFonts w:cstheme="minorHAnsi"/>
              </w:rPr>
              <w:t xml:space="preserve"> </w:t>
            </w:r>
            <w:r>
              <w:rPr>
                <w:rFonts w:cstheme="minorHAnsi"/>
              </w:rPr>
              <w:t>1777</w:t>
            </w:r>
            <w:r w:rsidR="00853AAB">
              <w:rPr>
                <w:rFonts w:cstheme="minorHAnsi"/>
              </w:rPr>
              <w:t xml:space="preserve"> </w:t>
            </w:r>
            <w:r>
              <w:rPr>
                <w:rFonts w:cstheme="minorHAnsi"/>
              </w:rPr>
              <w:t>/</w:t>
            </w:r>
            <w:r w:rsidR="00853AAB">
              <w:rPr>
                <w:rFonts w:cstheme="minorHAnsi"/>
              </w:rPr>
              <w:t xml:space="preserve"> </w:t>
            </w:r>
            <w:r>
              <w:rPr>
                <w:rFonts w:cstheme="minorHAnsi"/>
              </w:rPr>
              <w:t>2023 pentru aprobarea conținutului/modelului/formatului/structurii cadru pentru documentele prevăzute la art. 4. alin (1) teza întâi, art. 6 alin. (1) și (3), art 7 alin. (1). Art. 17 alin. (2) din OUG 23/2023 privind instituirea unor măsuri de simplificare și digitalizare pentru gestionarea fondurilor europene aferente Politicii de coeziune 2021—2027.</w:t>
            </w:r>
          </w:p>
          <w:p w14:paraId="2CC60910" w14:textId="77777777" w:rsidR="00A213FE" w:rsidRPr="00093876" w:rsidRDefault="00A213FE" w:rsidP="00A213FE">
            <w:pPr>
              <w:pStyle w:val="ListParagraph"/>
              <w:numPr>
                <w:ilvl w:val="0"/>
                <w:numId w:val="3"/>
              </w:numPr>
              <w:spacing w:before="0" w:after="0"/>
              <w:rPr>
                <w:rFonts w:cstheme="minorHAnsi"/>
              </w:rPr>
            </w:pPr>
            <w:r w:rsidRPr="00093876">
              <w:rPr>
                <w:rFonts w:cstheme="minorHAnsi"/>
              </w:rPr>
              <w:t>O</w:t>
            </w:r>
            <w:r>
              <w:rPr>
                <w:rFonts w:cstheme="minorHAnsi"/>
              </w:rPr>
              <w:t xml:space="preserve">rdin MIPE nr. 2041/2023 </w:t>
            </w:r>
            <w:r w:rsidRPr="00093876">
              <w:rPr>
                <w:rFonts w:cstheme="minorHAnsi"/>
              </w:rPr>
              <w:t>pentru aprobarea modelului Contractului de finanțare prevăzut la art. 14 alin. (2) din Ordonanța de urgență a Guvernului nr. 23/2023 privind instituirea unor măsuri de simplificare şi digitalizare pentru gestionarea fondurilor europene aferente Politicii de coeziune 2021 – 2027</w:t>
            </w:r>
          </w:p>
          <w:bookmarkEnd w:id="1"/>
          <w:p w14:paraId="445681CE" w14:textId="77777777" w:rsidR="00A213FE" w:rsidRPr="00272F42" w:rsidRDefault="00A213FE" w:rsidP="00A213FE">
            <w:pPr>
              <w:pStyle w:val="ListParagraph"/>
              <w:spacing w:after="0"/>
              <w:rPr>
                <w:rStyle w:val="sden"/>
                <w:bCs/>
                <w:bdr w:val="none" w:sz="0" w:space="0" w:color="auto" w:frame="1"/>
                <w:shd w:val="clear" w:color="auto" w:fill="FFFFFF"/>
              </w:rPr>
            </w:pPr>
            <w:r w:rsidRPr="00272F42">
              <w:rPr>
                <w:rStyle w:val="sden"/>
                <w:rFonts w:cstheme="minorHAnsi"/>
                <w:bCs/>
                <w:bdr w:val="none" w:sz="0" w:space="0" w:color="auto" w:frame="1"/>
                <w:shd w:val="clear" w:color="auto" w:fill="FFFFFF"/>
              </w:rPr>
              <w:t>__________________________</w:t>
            </w:r>
          </w:p>
          <w:p w14:paraId="45BE9141" w14:textId="77777777" w:rsidR="00A213FE" w:rsidRDefault="00A213FE" w:rsidP="00A213FE">
            <w:pPr>
              <w:pStyle w:val="ListParagraph"/>
              <w:numPr>
                <w:ilvl w:val="0"/>
                <w:numId w:val="3"/>
              </w:numPr>
              <w:spacing w:before="0" w:after="0"/>
              <w:rPr>
                <w:rFonts w:cstheme="minorHAnsi"/>
              </w:rPr>
            </w:pPr>
            <w:r>
              <w:rPr>
                <w:rFonts w:cstheme="minorHAnsi"/>
              </w:rPr>
              <w:t>OUG nr. 77/2014 privind procedurile naţionale în domeniul ajutorului de stat, precum şi pentru modificarea şi completarea Legii concurenţei nr. 21/1996, cu modificările şi completările ulterioare;</w:t>
            </w:r>
          </w:p>
          <w:p w14:paraId="3AD74726" w14:textId="77777777" w:rsidR="00A213FE" w:rsidRPr="00A41CA9" w:rsidRDefault="00A213FE" w:rsidP="00A213FE">
            <w:pPr>
              <w:numPr>
                <w:ilvl w:val="0"/>
                <w:numId w:val="3"/>
              </w:numPr>
              <w:pBdr>
                <w:top w:val="nil"/>
                <w:left w:val="nil"/>
                <w:bottom w:val="nil"/>
                <w:right w:val="nil"/>
                <w:between w:val="nil"/>
              </w:pBdr>
              <w:spacing w:before="0" w:after="0"/>
            </w:pPr>
            <w:r>
              <w:rPr>
                <w:color w:val="000000"/>
              </w:rPr>
              <w:t>Ordin nr. 441/2022 pentru punerea în aplicare a Regulamentului privind procedurile de monitorizare a ajutoarelor de stat şi de minimis;</w:t>
            </w:r>
          </w:p>
          <w:p w14:paraId="6FD16327" w14:textId="77777777" w:rsidR="00A213FE" w:rsidRDefault="00A213FE" w:rsidP="00A213FE">
            <w:pPr>
              <w:numPr>
                <w:ilvl w:val="0"/>
                <w:numId w:val="3"/>
              </w:numPr>
              <w:pBdr>
                <w:top w:val="nil"/>
                <w:left w:val="nil"/>
                <w:bottom w:val="nil"/>
                <w:right w:val="nil"/>
                <w:between w:val="nil"/>
              </w:pBdr>
              <w:spacing w:before="0"/>
            </w:pPr>
            <w:r>
              <w:rPr>
                <w:color w:val="000000"/>
              </w:rPr>
              <w:t>Ordinul MIPE nr ... privind aprobarea măsurii de sprijin, constând în acordarea unor ajutoare de stat și ajutoare de minimis în scopul dezvoltării întreprinderilor mici și mijlocii în cadrul Programului Tranziție Justă.</w:t>
            </w:r>
          </w:p>
          <w:p w14:paraId="4ED5D404" w14:textId="77777777" w:rsidR="00A213FE" w:rsidRPr="00093876" w:rsidRDefault="00A213FE" w:rsidP="00A213FE">
            <w:pPr>
              <w:pBdr>
                <w:top w:val="nil"/>
                <w:left w:val="nil"/>
                <w:bottom w:val="nil"/>
                <w:right w:val="nil"/>
                <w:between w:val="nil"/>
              </w:pBdr>
              <w:spacing w:before="0" w:after="0"/>
              <w:rPr>
                <w:rStyle w:val="sden"/>
              </w:rPr>
            </w:pPr>
            <w:r w:rsidRPr="00093876">
              <w:rPr>
                <w:rStyle w:val="sden"/>
                <w:rFonts w:cstheme="minorHAnsi"/>
                <w:bCs/>
                <w:bdr w:val="none" w:sz="0" w:space="0" w:color="auto" w:frame="1"/>
                <w:shd w:val="clear" w:color="auto" w:fill="FFFFFF"/>
              </w:rPr>
              <w:t>_________________________</w:t>
            </w:r>
          </w:p>
          <w:p w14:paraId="7C33793D" w14:textId="77777777" w:rsidR="00A213FE" w:rsidRPr="00272F42" w:rsidRDefault="00A213FE" w:rsidP="00A213FE">
            <w:pPr>
              <w:pStyle w:val="ListParagraph"/>
              <w:numPr>
                <w:ilvl w:val="0"/>
                <w:numId w:val="3"/>
              </w:numPr>
              <w:spacing w:before="0" w:after="0"/>
              <w:rPr>
                <w:rFonts w:cstheme="minorHAnsi"/>
              </w:rPr>
            </w:pPr>
            <w:r w:rsidRPr="00272F42">
              <w:rPr>
                <w:rFonts w:cstheme="minorHAnsi"/>
              </w:rPr>
              <w:t>Legea nr. 31/1990 privind societățile, republicată, cu modificările și completările ulterioare;</w:t>
            </w:r>
          </w:p>
          <w:p w14:paraId="5DBF068E" w14:textId="04E13C7D" w:rsidR="00A213FE" w:rsidRPr="00272F42" w:rsidRDefault="00A213FE" w:rsidP="00A213FE">
            <w:pPr>
              <w:pStyle w:val="ListParagraph"/>
              <w:numPr>
                <w:ilvl w:val="0"/>
                <w:numId w:val="3"/>
              </w:numPr>
              <w:spacing w:before="0" w:after="0"/>
              <w:rPr>
                <w:rFonts w:cstheme="minorHAnsi"/>
              </w:rPr>
            </w:pPr>
            <w:r w:rsidRPr="00272F42">
              <w:rPr>
                <w:rFonts w:cstheme="minorHAnsi"/>
              </w:rPr>
              <w:t xml:space="preserve">Legea nr. 1/2005 privind organizarea şi </w:t>
            </w:r>
            <w:r w:rsidR="00FA22A0" w:rsidRPr="00272F42">
              <w:rPr>
                <w:rFonts w:cstheme="minorHAnsi"/>
              </w:rPr>
              <w:t>funcționarea</w:t>
            </w:r>
            <w:r w:rsidRPr="00272F42">
              <w:rPr>
                <w:rFonts w:cstheme="minorHAnsi"/>
              </w:rPr>
              <w:t xml:space="preserve"> </w:t>
            </w:r>
            <w:r w:rsidR="00FA22A0" w:rsidRPr="00272F42">
              <w:rPr>
                <w:rFonts w:cstheme="minorHAnsi"/>
              </w:rPr>
              <w:t>cooperației</w:t>
            </w:r>
            <w:r w:rsidRPr="00272F42">
              <w:rPr>
                <w:rFonts w:cstheme="minorHAnsi"/>
              </w:rPr>
              <w:t>, cu modificările și completările ulterioare;</w:t>
            </w:r>
          </w:p>
          <w:p w14:paraId="046B56EC" w14:textId="77777777" w:rsidR="00A213FE" w:rsidRPr="00272F42" w:rsidRDefault="00A213FE" w:rsidP="00A213FE">
            <w:pPr>
              <w:pStyle w:val="ListParagraph"/>
              <w:numPr>
                <w:ilvl w:val="0"/>
                <w:numId w:val="3"/>
              </w:numPr>
              <w:spacing w:before="0" w:after="0"/>
              <w:rPr>
                <w:rFonts w:cstheme="minorHAnsi"/>
              </w:rPr>
            </w:pPr>
            <w:bookmarkStart w:id="2" w:name="_heading=h.3rdcrjn" w:colFirst="0" w:colLast="0"/>
            <w:bookmarkEnd w:id="2"/>
            <w:r w:rsidRPr="00272F42">
              <w:rPr>
                <w:rFonts w:cstheme="minorHAnsi"/>
              </w:rPr>
              <w:t>Legea nr. 346/2004 privind stimularea înființării și dezvoltării întreprinderilor mici și mijlocii, cu modificările și completările ulterioare;</w:t>
            </w:r>
          </w:p>
          <w:p w14:paraId="24F24D57" w14:textId="77777777" w:rsidR="00A213FE" w:rsidRDefault="00A213FE" w:rsidP="00A213FE">
            <w:pPr>
              <w:spacing w:after="0"/>
              <w:rPr>
                <w:rStyle w:val="sden"/>
                <w:bCs/>
                <w:bdr w:val="none" w:sz="0" w:space="0" w:color="auto" w:frame="1"/>
                <w:shd w:val="clear" w:color="auto" w:fill="FFFFFF"/>
              </w:rPr>
            </w:pPr>
            <w:r>
              <w:rPr>
                <w:rStyle w:val="sden"/>
                <w:rFonts w:cstheme="minorHAnsi"/>
                <w:bCs/>
                <w:bdr w:val="none" w:sz="0" w:space="0" w:color="auto" w:frame="1"/>
                <w:shd w:val="clear" w:color="auto" w:fill="FFFFFF"/>
              </w:rPr>
              <w:t>__________________________</w:t>
            </w:r>
          </w:p>
          <w:p w14:paraId="7E8DBF85" w14:textId="524D1976" w:rsidR="00A213FE" w:rsidRDefault="00A213FE" w:rsidP="00A213FE">
            <w:pPr>
              <w:pStyle w:val="ListParagraph"/>
              <w:numPr>
                <w:ilvl w:val="0"/>
                <w:numId w:val="3"/>
              </w:numPr>
              <w:spacing w:before="0" w:after="0"/>
              <w:rPr>
                <w:rFonts w:cstheme="minorHAnsi"/>
              </w:rPr>
            </w:pPr>
            <w:r>
              <w:rPr>
                <w:rFonts w:cstheme="minorHAnsi"/>
              </w:rPr>
              <w:t xml:space="preserve">Legea nr. 50/1991 privind autorizarea executării lucrărilor de </w:t>
            </w:r>
            <w:r w:rsidR="00FA22A0">
              <w:rPr>
                <w:rFonts w:cstheme="minorHAnsi"/>
              </w:rPr>
              <w:t>construcții</w:t>
            </w:r>
            <w:r>
              <w:rPr>
                <w:rFonts w:cstheme="minorHAnsi"/>
              </w:rPr>
              <w:t>, republicată, cu modificările și completările ulterioare;</w:t>
            </w:r>
          </w:p>
          <w:p w14:paraId="1EF94502" w14:textId="77777777" w:rsidR="00A213FE" w:rsidRDefault="00A213FE" w:rsidP="00A213FE">
            <w:pPr>
              <w:pStyle w:val="ListParagraph"/>
              <w:numPr>
                <w:ilvl w:val="0"/>
                <w:numId w:val="3"/>
              </w:numPr>
              <w:spacing w:before="0" w:after="0"/>
              <w:rPr>
                <w:rFonts w:cstheme="minorHAnsi"/>
              </w:rPr>
            </w:pPr>
            <w:r>
              <w:rPr>
                <w:rStyle w:val="FontStyle37"/>
                <w:rFonts w:cstheme="minorHAnsi"/>
              </w:rPr>
              <w:t>HG nr. 907/2016 privind etapele de elaborare și conținutul-cadru al documentațiilor tehnico-economice aferente obiectivelor/proiectelor de investiții finanțate din fonduri publice;</w:t>
            </w:r>
          </w:p>
          <w:p w14:paraId="5BD92296" w14:textId="77777777" w:rsidR="00A213FE" w:rsidRDefault="00A213FE" w:rsidP="00A213FE">
            <w:pPr>
              <w:spacing w:after="0"/>
              <w:rPr>
                <w:rFonts w:cstheme="minorHAnsi"/>
              </w:rPr>
            </w:pPr>
            <w:r>
              <w:rPr>
                <w:rFonts w:cstheme="minorHAnsi"/>
              </w:rPr>
              <w:t>____________________</w:t>
            </w:r>
          </w:p>
          <w:p w14:paraId="3410AB8F" w14:textId="77777777" w:rsidR="00A213FE" w:rsidRDefault="00A213FE" w:rsidP="00A213FE">
            <w:pPr>
              <w:pStyle w:val="ListParagraph"/>
              <w:numPr>
                <w:ilvl w:val="0"/>
                <w:numId w:val="3"/>
              </w:numPr>
              <w:spacing w:before="0" w:after="0"/>
              <w:rPr>
                <w:rFonts w:cstheme="minorHAnsi"/>
              </w:rPr>
            </w:pPr>
            <w:r>
              <w:rPr>
                <w:rFonts w:cstheme="minorHAnsi"/>
              </w:rPr>
              <w:lastRenderedPageBreak/>
              <w:t>OUG nr. 156/2020 privind unele măsuri pentru susținerea dezvoltării teritoriale a localităților urbane și rurale din România cu finanțare din fonduri externe nerambursabile, cu modificările și completările ulterioare;</w:t>
            </w:r>
          </w:p>
          <w:p w14:paraId="7E926955" w14:textId="77777777" w:rsidR="00A213FE" w:rsidRDefault="00A213FE" w:rsidP="00A213FE">
            <w:pPr>
              <w:pStyle w:val="ListParagraph"/>
              <w:numPr>
                <w:ilvl w:val="0"/>
                <w:numId w:val="3"/>
              </w:numPr>
              <w:spacing w:before="0" w:after="0"/>
              <w:rPr>
                <w:rFonts w:cstheme="minorHAnsi"/>
              </w:rPr>
            </w:pPr>
            <w:r>
              <w:rPr>
                <w:rFonts w:cstheme="minorHAnsi"/>
              </w:rPr>
              <w:t>Legea nr. 246/2022 privind zonele metropolitane, precum şi pentru modificarea şi completarea unor acte normative;</w:t>
            </w:r>
          </w:p>
          <w:p w14:paraId="51DFE0A8" w14:textId="77777777" w:rsidR="00A213FE" w:rsidRDefault="00A213FE" w:rsidP="00A213FE">
            <w:pPr>
              <w:spacing w:after="0"/>
              <w:rPr>
                <w:rFonts w:cstheme="minorHAnsi"/>
              </w:rPr>
            </w:pPr>
            <w:r>
              <w:rPr>
                <w:rFonts w:cstheme="minorHAnsi"/>
              </w:rPr>
              <w:t>_______________________</w:t>
            </w:r>
          </w:p>
          <w:p w14:paraId="14BA73C3" w14:textId="77777777" w:rsidR="00A213FE" w:rsidRDefault="00A213FE" w:rsidP="00A213FE">
            <w:pPr>
              <w:pStyle w:val="ListParagraph"/>
              <w:numPr>
                <w:ilvl w:val="0"/>
                <w:numId w:val="3"/>
              </w:numPr>
              <w:spacing w:before="0" w:after="0"/>
              <w:rPr>
                <w:rFonts w:cstheme="minorHAnsi"/>
              </w:rPr>
            </w:pPr>
            <w:bookmarkStart w:id="3" w:name="REFsp23rtd4"/>
            <w:bookmarkEnd w:id="3"/>
            <w:r>
              <w:rPr>
                <w:rFonts w:cstheme="minorHAnsi"/>
              </w:rPr>
              <w:t>Legea nr. 202/2002 privind egalitatea de şanse între femei şi bărbaţi, cu modificările și completările ulterioare;</w:t>
            </w:r>
          </w:p>
          <w:p w14:paraId="4FF7B470" w14:textId="77777777" w:rsidR="00A213FE" w:rsidRDefault="00A213FE" w:rsidP="00A213FE">
            <w:pPr>
              <w:pStyle w:val="ListParagraph"/>
              <w:numPr>
                <w:ilvl w:val="0"/>
                <w:numId w:val="3"/>
              </w:numPr>
              <w:spacing w:before="0" w:after="0"/>
              <w:rPr>
                <w:rFonts w:cstheme="minorHAnsi"/>
              </w:rPr>
            </w:pPr>
            <w:r>
              <w:rPr>
                <w:rFonts w:cstheme="minorHAnsi"/>
              </w:rPr>
              <w:t>OUG nr.137/2000 privind prevenirea şi sancţionarea tuturor formelor de discriminare;</w:t>
            </w:r>
          </w:p>
          <w:p w14:paraId="6CD21A28" w14:textId="77777777" w:rsidR="00A213FE" w:rsidRDefault="00A213FE" w:rsidP="00A213FE">
            <w:pPr>
              <w:pStyle w:val="ListParagraph"/>
              <w:numPr>
                <w:ilvl w:val="0"/>
                <w:numId w:val="3"/>
              </w:numPr>
              <w:spacing w:before="0" w:after="0"/>
              <w:rPr>
                <w:rFonts w:cstheme="minorHAnsi"/>
              </w:rPr>
            </w:pPr>
            <w:r>
              <w:rPr>
                <w:rFonts w:cstheme="minorHAnsi"/>
              </w:rPr>
              <w:t>Ordonanța de Guvern nr. 61/2008 privind implementarea principiului egalităţii de tratament între femei şi bărbaţi în ceea ce priveşte accesul la bunuri şi servicii şi furnizarea de bunuri şi servicii, cu modificările și completările ulterioare</w:t>
            </w:r>
          </w:p>
          <w:p w14:paraId="18B87EE5" w14:textId="21C29030" w:rsidR="00A213FE" w:rsidRPr="00A213FE" w:rsidRDefault="00A213FE" w:rsidP="00A213FE">
            <w:pPr>
              <w:pStyle w:val="ListParagraph"/>
              <w:numPr>
                <w:ilvl w:val="0"/>
                <w:numId w:val="3"/>
              </w:numPr>
              <w:spacing w:before="0" w:after="0"/>
              <w:rPr>
                <w:rFonts w:cstheme="minorHAnsi"/>
              </w:rPr>
            </w:pPr>
            <w:r>
              <w:rPr>
                <w:rFonts w:cstheme="minorHAnsi"/>
              </w:rPr>
              <w:t>Legea nr.448/2006 privind protecţia şi promovarea drepturilor persoanelor cu handicap, cu modificările și completările ulterioare;</w:t>
            </w:r>
          </w:p>
        </w:tc>
      </w:tr>
      <w:tr w:rsidR="00A213FE" w14:paraId="2BF099F0" w14:textId="77777777" w:rsidTr="00A213FE">
        <w:tc>
          <w:tcPr>
            <w:tcW w:w="2070" w:type="dxa"/>
          </w:tcPr>
          <w:p w14:paraId="0F178C4D" w14:textId="0EED8818" w:rsidR="00A213FE" w:rsidRPr="00A213FE" w:rsidRDefault="00A213FE" w:rsidP="00A213FE">
            <w:pPr>
              <w:pStyle w:val="5Normal"/>
              <w:spacing w:after="0"/>
              <w:rPr>
                <w:rFonts w:asciiTheme="minorHAnsi" w:hAnsiTheme="minorHAnsi" w:cstheme="minorHAnsi"/>
                <w:b/>
                <w:bCs/>
                <w:color w:val="0070C0"/>
                <w:szCs w:val="22"/>
              </w:rPr>
            </w:pPr>
            <w:r w:rsidRPr="00A213FE">
              <w:rPr>
                <w:rFonts w:asciiTheme="minorHAnsi" w:hAnsiTheme="minorHAnsi" w:cstheme="minorHAnsi"/>
                <w:b/>
                <w:bCs/>
                <w:color w:val="0070C0"/>
                <w:szCs w:val="22"/>
              </w:rPr>
              <w:lastRenderedPageBreak/>
              <w:t>Documente programatice (Programe, Strategii, Planuri) europene</w:t>
            </w:r>
          </w:p>
          <w:p w14:paraId="14DF1D5E" w14:textId="77777777" w:rsidR="00A213FE" w:rsidRPr="00A213FE" w:rsidRDefault="00A213FE" w:rsidP="00A213FE">
            <w:pPr>
              <w:pStyle w:val="5Normal"/>
              <w:rPr>
                <w:rFonts w:asciiTheme="minorHAnsi" w:hAnsiTheme="minorHAnsi" w:cstheme="minorHAnsi"/>
                <w:b/>
                <w:bCs/>
                <w:color w:val="0070C0"/>
                <w:szCs w:val="22"/>
              </w:rPr>
            </w:pPr>
          </w:p>
        </w:tc>
        <w:tc>
          <w:tcPr>
            <w:tcW w:w="8504" w:type="dxa"/>
          </w:tcPr>
          <w:p w14:paraId="18DB4187" w14:textId="5BF459C3" w:rsidR="00A213FE" w:rsidRDefault="00A213FE" w:rsidP="00A213FE">
            <w:pPr>
              <w:pStyle w:val="ListParagraph"/>
              <w:numPr>
                <w:ilvl w:val="0"/>
                <w:numId w:val="3"/>
              </w:numPr>
              <w:spacing w:before="0" w:after="0"/>
              <w:rPr>
                <w:rFonts w:asciiTheme="minorHAnsi" w:eastAsia="Times New Roman" w:hAnsiTheme="minorHAnsi" w:cstheme="minorHAnsi"/>
                <w:iCs/>
              </w:rPr>
            </w:pPr>
            <w:r>
              <w:rPr>
                <w:rFonts w:eastAsia="Times New Roman" w:cstheme="minorHAnsi"/>
                <w:iCs/>
              </w:rPr>
              <w:t>Pactul verde european</w:t>
            </w:r>
          </w:p>
          <w:p w14:paraId="2E6D8514" w14:textId="77777777" w:rsidR="00A213FE" w:rsidRDefault="00A213FE" w:rsidP="00A213FE">
            <w:pPr>
              <w:pStyle w:val="ListParagraph"/>
              <w:numPr>
                <w:ilvl w:val="0"/>
                <w:numId w:val="3"/>
              </w:numPr>
              <w:spacing w:before="0" w:after="0"/>
              <w:rPr>
                <w:rFonts w:eastAsia="Times New Roman" w:cstheme="minorHAnsi"/>
                <w:iCs/>
              </w:rPr>
            </w:pPr>
            <w:r>
              <w:rPr>
                <w:rFonts w:eastAsia="Times New Roman" w:cstheme="minorHAnsi"/>
                <w:iCs/>
              </w:rPr>
              <w:t>Semestrul European</w:t>
            </w:r>
          </w:p>
          <w:p w14:paraId="35BE17A3" w14:textId="53E236CB" w:rsidR="002E7425" w:rsidRDefault="002E7425" w:rsidP="00A213FE">
            <w:pPr>
              <w:pStyle w:val="ListParagraph"/>
              <w:numPr>
                <w:ilvl w:val="0"/>
                <w:numId w:val="3"/>
              </w:numPr>
              <w:spacing w:before="0" w:after="0"/>
              <w:rPr>
                <w:rFonts w:eastAsia="Times New Roman" w:cstheme="minorHAnsi"/>
                <w:iCs/>
              </w:rPr>
            </w:pPr>
            <w:r>
              <w:t>Cart</w:t>
            </w:r>
            <w:r>
              <w:t>a</w:t>
            </w:r>
            <w:r>
              <w:t xml:space="preserve"> drepturilor fundamentale a Uniunii Europene</w:t>
            </w:r>
          </w:p>
          <w:p w14:paraId="3A970A1C" w14:textId="77777777" w:rsidR="00A213FE" w:rsidRDefault="00A213FE" w:rsidP="00A213FE">
            <w:pPr>
              <w:pStyle w:val="ListParagraph"/>
              <w:numPr>
                <w:ilvl w:val="0"/>
                <w:numId w:val="3"/>
              </w:numPr>
              <w:spacing w:before="0" w:after="0"/>
              <w:rPr>
                <w:rFonts w:eastAsia="Times New Roman" w:cstheme="minorHAnsi"/>
                <w:iCs/>
              </w:rPr>
            </w:pPr>
            <w:r>
              <w:rPr>
                <w:rFonts w:eastAsia="Times New Roman" w:cstheme="minorHAnsi"/>
                <w:iCs/>
              </w:rPr>
              <w:t>Pilonul European al Drepturilor Sociale</w:t>
            </w:r>
          </w:p>
          <w:p w14:paraId="4F6BB6B4" w14:textId="77777777" w:rsidR="00A213FE" w:rsidRDefault="00A213FE" w:rsidP="00A213FE">
            <w:pPr>
              <w:pStyle w:val="ListParagraph"/>
              <w:numPr>
                <w:ilvl w:val="0"/>
                <w:numId w:val="3"/>
              </w:numPr>
              <w:spacing w:before="0" w:after="0"/>
              <w:rPr>
                <w:rFonts w:eastAsia="Times New Roman" w:cstheme="minorHAnsi"/>
                <w:iCs/>
              </w:rPr>
            </w:pPr>
            <w:r>
              <w:rPr>
                <w:rFonts w:eastAsia="Times New Roman" w:cstheme="minorHAnsi"/>
                <w:iCs/>
              </w:rPr>
              <w:t>Agenda 2030 a ONU pentru Dezvoltare Durabilă</w:t>
            </w:r>
          </w:p>
          <w:p w14:paraId="12475142" w14:textId="77777777" w:rsidR="00A213FE" w:rsidRDefault="00A213FE" w:rsidP="00A213FE">
            <w:pPr>
              <w:pStyle w:val="ListParagraph"/>
              <w:numPr>
                <w:ilvl w:val="0"/>
                <w:numId w:val="3"/>
              </w:numPr>
              <w:spacing w:before="0" w:after="0"/>
              <w:rPr>
                <w:rFonts w:eastAsia="Times New Roman" w:cstheme="minorHAnsi"/>
                <w:iCs/>
              </w:rPr>
            </w:pPr>
            <w:r>
              <w:rPr>
                <w:rFonts w:eastAsia="Times New Roman" w:cstheme="minorHAnsi"/>
                <w:iCs/>
              </w:rPr>
              <w:t xml:space="preserve">Strategia Uniunii Europene privind egalitatea de gen 2020-2025: O Uniune a egalității; </w:t>
            </w:r>
          </w:p>
          <w:p w14:paraId="4E76503A" w14:textId="4AE52CE9" w:rsidR="00A213FE" w:rsidRPr="00A213FE" w:rsidRDefault="00A213FE" w:rsidP="00A213FE">
            <w:pPr>
              <w:pStyle w:val="ListParagraph"/>
              <w:numPr>
                <w:ilvl w:val="0"/>
                <w:numId w:val="3"/>
              </w:numPr>
              <w:spacing w:before="0" w:after="0"/>
              <w:rPr>
                <w:rFonts w:eastAsia="Times New Roman" w:cstheme="minorHAnsi"/>
                <w:iCs/>
              </w:rPr>
            </w:pPr>
            <w:r>
              <w:rPr>
                <w:rFonts w:eastAsia="Times New Roman" w:cstheme="minorHAnsi"/>
                <w:iCs/>
              </w:rPr>
              <w:t>Strategia Uniunii Europene privind drepturile persoanelor cu dizabilități 2021-2030: O Uniune a egalității;</w:t>
            </w:r>
          </w:p>
        </w:tc>
      </w:tr>
      <w:tr w:rsidR="00A213FE" w14:paraId="1A113785" w14:textId="77777777" w:rsidTr="00A213FE">
        <w:tc>
          <w:tcPr>
            <w:tcW w:w="2070" w:type="dxa"/>
          </w:tcPr>
          <w:p w14:paraId="3711F6BD" w14:textId="1FA33D73" w:rsidR="00A213FE" w:rsidRPr="00A213FE" w:rsidRDefault="00A213FE" w:rsidP="00A213FE">
            <w:pPr>
              <w:pStyle w:val="5Normal"/>
              <w:spacing w:after="0"/>
              <w:rPr>
                <w:rFonts w:asciiTheme="minorHAnsi" w:hAnsiTheme="minorHAnsi" w:cstheme="minorHAnsi"/>
                <w:b/>
                <w:bCs/>
                <w:color w:val="0070C0"/>
                <w:szCs w:val="22"/>
              </w:rPr>
            </w:pPr>
            <w:r w:rsidRPr="00A213FE">
              <w:rPr>
                <w:rFonts w:asciiTheme="minorHAnsi" w:hAnsiTheme="minorHAnsi" w:cstheme="minorHAnsi"/>
                <w:b/>
                <w:bCs/>
                <w:color w:val="0070C0"/>
                <w:szCs w:val="22"/>
              </w:rPr>
              <w:t>Documente programatice (Programe, Strategii, Planuri) naționale, regioanle, locale</w:t>
            </w:r>
          </w:p>
          <w:p w14:paraId="484E4FFF" w14:textId="77777777" w:rsidR="00A213FE" w:rsidRPr="00A213FE" w:rsidRDefault="00A213FE" w:rsidP="00A213FE">
            <w:pPr>
              <w:pStyle w:val="5Normal"/>
              <w:rPr>
                <w:rFonts w:asciiTheme="minorHAnsi" w:hAnsiTheme="minorHAnsi" w:cstheme="minorHAnsi"/>
                <w:b/>
                <w:bCs/>
                <w:color w:val="0070C0"/>
                <w:szCs w:val="22"/>
              </w:rPr>
            </w:pPr>
          </w:p>
        </w:tc>
        <w:tc>
          <w:tcPr>
            <w:tcW w:w="8504" w:type="dxa"/>
          </w:tcPr>
          <w:p w14:paraId="3ED53A16" w14:textId="77777777" w:rsidR="00A213FE" w:rsidRDefault="00A213FE" w:rsidP="00A213FE">
            <w:pPr>
              <w:pStyle w:val="ListParagraph"/>
              <w:numPr>
                <w:ilvl w:val="0"/>
                <w:numId w:val="3"/>
              </w:numPr>
              <w:spacing w:before="0" w:after="0"/>
              <w:rPr>
                <w:rFonts w:eastAsia="Times New Roman" w:cstheme="minorHAnsi"/>
                <w:iCs/>
              </w:rPr>
            </w:pPr>
            <w:r>
              <w:rPr>
                <w:rFonts w:eastAsia="Times New Roman" w:cstheme="minorHAnsi"/>
                <w:iCs/>
              </w:rPr>
              <w:t>Strategia Națională pentru Dezvoltarea Durabilã a României (SNDD) 2030</w:t>
            </w:r>
          </w:p>
          <w:p w14:paraId="15222ED8" w14:textId="77777777" w:rsidR="00A213FE" w:rsidRDefault="00A213FE" w:rsidP="00A213FE">
            <w:pPr>
              <w:pStyle w:val="ListParagraph"/>
              <w:numPr>
                <w:ilvl w:val="0"/>
                <w:numId w:val="3"/>
              </w:numPr>
              <w:spacing w:before="0" w:after="0"/>
              <w:rPr>
                <w:rFonts w:eastAsia="Times New Roman" w:cstheme="minorHAnsi"/>
                <w:iCs/>
              </w:rPr>
            </w:pPr>
            <w:r>
              <w:rPr>
                <w:rFonts w:eastAsia="Times New Roman" w:cstheme="minorHAnsi"/>
                <w:iCs/>
              </w:rPr>
              <w:t>Planul Național Integrat în domeniul Energiei și Schimbărilor Climatice (PNIESC)</w:t>
            </w:r>
          </w:p>
          <w:p w14:paraId="5B6BC792" w14:textId="77777777" w:rsidR="00A213FE" w:rsidRDefault="00A213FE" w:rsidP="00A213FE">
            <w:pPr>
              <w:pStyle w:val="ListParagraph"/>
              <w:numPr>
                <w:ilvl w:val="0"/>
                <w:numId w:val="3"/>
              </w:numPr>
              <w:spacing w:before="0" w:after="0"/>
              <w:rPr>
                <w:rFonts w:eastAsia="Times New Roman" w:cstheme="minorHAnsi"/>
                <w:iCs/>
              </w:rPr>
            </w:pPr>
            <w:r>
              <w:rPr>
                <w:rFonts w:eastAsia="Times New Roman" w:cstheme="minorHAnsi"/>
                <w:iCs/>
              </w:rPr>
              <w:t>Planul Național de Redresare și Reziliență</w:t>
            </w:r>
          </w:p>
          <w:p w14:paraId="50D4013B" w14:textId="77777777" w:rsidR="00A213FE" w:rsidRDefault="00A213FE" w:rsidP="00A213FE">
            <w:pPr>
              <w:pStyle w:val="ListParagraph"/>
              <w:numPr>
                <w:ilvl w:val="0"/>
                <w:numId w:val="3"/>
              </w:numPr>
              <w:spacing w:before="0" w:after="0"/>
              <w:rPr>
                <w:rFonts w:eastAsia="Times New Roman" w:cstheme="minorHAnsi"/>
                <w:iCs/>
              </w:rPr>
            </w:pPr>
            <w:r>
              <w:rPr>
                <w:rFonts w:eastAsia="Times New Roman" w:cstheme="minorHAnsi"/>
                <w:iCs/>
              </w:rPr>
              <w:t>Strategia UE pentru Regiunea Dunării</w:t>
            </w:r>
          </w:p>
          <w:p w14:paraId="7040226D" w14:textId="77777777" w:rsidR="00A213FE" w:rsidRDefault="00A213FE" w:rsidP="00A213FE">
            <w:pPr>
              <w:pStyle w:val="ListParagraph"/>
              <w:numPr>
                <w:ilvl w:val="0"/>
                <w:numId w:val="3"/>
              </w:numPr>
              <w:spacing w:before="0" w:after="0"/>
              <w:rPr>
                <w:rFonts w:eastAsia="Times New Roman" w:cstheme="minorHAnsi"/>
                <w:iCs/>
              </w:rPr>
            </w:pPr>
            <w:r>
              <w:rPr>
                <w:rFonts w:eastAsia="Times New Roman" w:cstheme="minorHAnsi"/>
                <w:iCs/>
              </w:rPr>
              <w:t>Strategia națională de ocupare a forței de muncă 2021 – 2027</w:t>
            </w:r>
          </w:p>
          <w:p w14:paraId="6775A250" w14:textId="77777777" w:rsidR="00A213FE" w:rsidRDefault="00A213FE" w:rsidP="00A213FE">
            <w:pPr>
              <w:pStyle w:val="ListParagraph"/>
              <w:numPr>
                <w:ilvl w:val="0"/>
                <w:numId w:val="3"/>
              </w:numPr>
              <w:spacing w:before="0" w:after="0"/>
              <w:rPr>
                <w:rFonts w:eastAsia="Times New Roman" w:cstheme="minorHAnsi"/>
                <w:iCs/>
              </w:rPr>
            </w:pPr>
            <w:r>
              <w:rPr>
                <w:rFonts w:eastAsia="Times New Roman" w:cstheme="minorHAnsi"/>
                <w:iCs/>
              </w:rPr>
              <w:t>Strategia națională pentru locuri de muncă verzi 2018 - 2025</w:t>
            </w:r>
          </w:p>
          <w:p w14:paraId="26E0B480" w14:textId="77777777" w:rsidR="00A213FE" w:rsidRDefault="00A213FE" w:rsidP="00A213FE">
            <w:pPr>
              <w:pStyle w:val="ListParagraph"/>
              <w:numPr>
                <w:ilvl w:val="0"/>
                <w:numId w:val="3"/>
              </w:numPr>
              <w:spacing w:before="0" w:after="0"/>
              <w:rPr>
                <w:rFonts w:eastAsia="Times New Roman" w:cstheme="minorHAnsi"/>
                <w:iCs/>
              </w:rPr>
            </w:pPr>
            <w:r>
              <w:rPr>
                <w:rFonts w:eastAsia="Times New Roman" w:cstheme="minorHAnsi"/>
                <w:iCs/>
              </w:rPr>
              <w:t>Strategia națională privind promovarea egalității de șanse și de tratament între femei și bărbați și prevenirea și combaterea violenței domestice pentru perioada 2021-2027;</w:t>
            </w:r>
          </w:p>
          <w:p w14:paraId="7E123308" w14:textId="77777777" w:rsidR="00A213FE" w:rsidRDefault="00A213FE" w:rsidP="00A213FE">
            <w:pPr>
              <w:pStyle w:val="ListParagraph"/>
              <w:numPr>
                <w:ilvl w:val="0"/>
                <w:numId w:val="3"/>
              </w:numPr>
              <w:spacing w:before="0" w:after="0"/>
              <w:rPr>
                <w:rFonts w:eastAsia="Times New Roman" w:cstheme="minorHAnsi"/>
                <w:iCs/>
              </w:rPr>
            </w:pPr>
            <w:r>
              <w:rPr>
                <w:rFonts w:eastAsia="Times New Roman" w:cstheme="minorHAnsi"/>
                <w:iCs/>
              </w:rPr>
              <w:t>Programele operaționale regionale și celelalte programe aferente perioadei de programare 2021-2027</w:t>
            </w:r>
          </w:p>
          <w:p w14:paraId="7B43CDC9" w14:textId="77777777" w:rsidR="00A213FE" w:rsidRDefault="00A213FE" w:rsidP="00A213FE">
            <w:pPr>
              <w:pStyle w:val="ListParagraph"/>
              <w:numPr>
                <w:ilvl w:val="0"/>
                <w:numId w:val="3"/>
              </w:numPr>
              <w:spacing w:before="0" w:after="0"/>
              <w:rPr>
                <w:rFonts w:eastAsia="Times New Roman" w:cstheme="minorHAnsi"/>
                <w:iCs/>
              </w:rPr>
            </w:pPr>
            <w:r>
              <w:rPr>
                <w:rFonts w:eastAsia="Times New Roman" w:cstheme="minorHAnsi"/>
                <w:iCs/>
              </w:rPr>
              <w:t>Planurile/strategiile de dezvoltare regională</w:t>
            </w:r>
          </w:p>
          <w:p w14:paraId="15795963" w14:textId="77777777" w:rsidR="00A213FE" w:rsidRDefault="00A213FE" w:rsidP="00A213FE">
            <w:pPr>
              <w:pStyle w:val="ListParagraph"/>
              <w:numPr>
                <w:ilvl w:val="0"/>
                <w:numId w:val="3"/>
              </w:numPr>
              <w:spacing w:before="0" w:after="0"/>
              <w:rPr>
                <w:rFonts w:eastAsia="Times New Roman" w:cstheme="minorHAnsi"/>
                <w:iCs/>
              </w:rPr>
            </w:pPr>
            <w:r>
              <w:rPr>
                <w:rFonts w:eastAsia="Times New Roman" w:cstheme="minorHAnsi"/>
                <w:iCs/>
              </w:rPr>
              <w:t>Strategiile regionale de specializare inteligentă</w:t>
            </w:r>
          </w:p>
          <w:p w14:paraId="4E0DEBCC" w14:textId="77777777" w:rsidR="00A213FE" w:rsidRDefault="00A213FE" w:rsidP="00A213FE">
            <w:pPr>
              <w:pStyle w:val="ListParagraph"/>
              <w:numPr>
                <w:ilvl w:val="0"/>
                <w:numId w:val="3"/>
              </w:numPr>
              <w:spacing w:before="0" w:after="0"/>
              <w:rPr>
                <w:rFonts w:eastAsia="Times New Roman" w:cstheme="minorHAnsi"/>
                <w:iCs/>
              </w:rPr>
            </w:pPr>
            <w:r>
              <w:rPr>
                <w:rFonts w:eastAsia="Times New Roman" w:cstheme="minorHAnsi"/>
                <w:iCs/>
              </w:rPr>
              <w:t>Strategiile teritoriale integrate</w:t>
            </w:r>
          </w:p>
          <w:p w14:paraId="7F5FD23C" w14:textId="2039B860" w:rsidR="00CA1374" w:rsidRPr="00A213FE" w:rsidRDefault="00CA1374" w:rsidP="00A213FE">
            <w:pPr>
              <w:pStyle w:val="ListParagraph"/>
              <w:numPr>
                <w:ilvl w:val="0"/>
                <w:numId w:val="3"/>
              </w:numPr>
              <w:spacing w:before="0" w:after="0"/>
              <w:rPr>
                <w:rFonts w:eastAsia="Times New Roman" w:cstheme="minorHAnsi"/>
                <w:iCs/>
              </w:rPr>
            </w:pPr>
            <w:r>
              <w:rPr>
                <w:rFonts w:eastAsia="Times New Roman" w:cstheme="minorHAnsi"/>
                <w:iCs/>
              </w:rPr>
              <w:t xml:space="preserve">Strategia de </w:t>
            </w:r>
            <w:r w:rsidRPr="00CA1374">
              <w:rPr>
                <w:rFonts w:eastAsia="Times New Roman" w:cstheme="minorHAnsi"/>
                <w:iCs/>
              </w:rPr>
              <w:t>dezvoltare economică, socială și de mediu a Văii Jiului, pentru perioada 2022-2030</w:t>
            </w:r>
            <w:r>
              <w:rPr>
                <w:rFonts w:eastAsia="Times New Roman" w:cstheme="minorHAnsi"/>
                <w:iCs/>
              </w:rPr>
              <w:t>, aprobată prin HG 901/2022</w:t>
            </w:r>
          </w:p>
        </w:tc>
      </w:tr>
    </w:tbl>
    <w:p w14:paraId="33087691" w14:textId="77777777" w:rsidR="00225258" w:rsidRDefault="00225258"/>
    <w:sectPr w:rsidR="0022525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4ED4" w14:textId="77777777" w:rsidR="002A7DCE" w:rsidRDefault="002A7DCE" w:rsidP="00A213FE">
      <w:pPr>
        <w:spacing w:before="0" w:after="0"/>
      </w:pPr>
      <w:r>
        <w:separator/>
      </w:r>
    </w:p>
  </w:endnote>
  <w:endnote w:type="continuationSeparator" w:id="0">
    <w:p w14:paraId="629A93E7" w14:textId="77777777" w:rsidR="002A7DCE" w:rsidRDefault="002A7DCE" w:rsidP="00A213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jan Pr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44873"/>
      <w:docPartObj>
        <w:docPartGallery w:val="Page Numbers (Bottom of Page)"/>
        <w:docPartUnique/>
      </w:docPartObj>
    </w:sdtPr>
    <w:sdtContent>
      <w:sdt>
        <w:sdtPr>
          <w:id w:val="-1769616900"/>
          <w:docPartObj>
            <w:docPartGallery w:val="Page Numbers (Top of Page)"/>
            <w:docPartUnique/>
          </w:docPartObj>
        </w:sdtPr>
        <w:sdtContent>
          <w:p w14:paraId="28C36A0C" w14:textId="381A803D" w:rsidR="00A213FE" w:rsidRDefault="00A213F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47837C" w14:textId="77777777" w:rsidR="00A213FE" w:rsidRDefault="00A21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6CB1" w14:textId="77777777" w:rsidR="002A7DCE" w:rsidRDefault="002A7DCE" w:rsidP="00A213FE">
      <w:pPr>
        <w:spacing w:before="0" w:after="0"/>
      </w:pPr>
      <w:r>
        <w:separator/>
      </w:r>
    </w:p>
  </w:footnote>
  <w:footnote w:type="continuationSeparator" w:id="0">
    <w:p w14:paraId="3C581BA7" w14:textId="77777777" w:rsidR="002A7DCE" w:rsidRDefault="002A7DCE" w:rsidP="00A213F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ayout w:type="fixed"/>
      <w:tblLook w:val="0400" w:firstRow="0" w:lastRow="0" w:firstColumn="0" w:lastColumn="0" w:noHBand="0" w:noVBand="1"/>
    </w:tblPr>
    <w:tblGrid>
      <w:gridCol w:w="1777"/>
      <w:gridCol w:w="7154"/>
    </w:tblGrid>
    <w:tr w:rsidR="00A213FE" w14:paraId="3D7B8351" w14:textId="77777777" w:rsidTr="00A709C1">
      <w:trPr>
        <w:trHeight w:val="1343"/>
      </w:trPr>
      <w:tc>
        <w:tcPr>
          <w:tcW w:w="1777" w:type="dxa"/>
          <w:shd w:val="clear" w:color="auto" w:fill="auto"/>
          <w:vAlign w:val="center"/>
        </w:tcPr>
        <w:p w14:paraId="6805B1F3" w14:textId="1B2E5C4F" w:rsidR="00A213FE" w:rsidRDefault="00A213FE" w:rsidP="00A213FE">
          <w:pPr>
            <w:pBdr>
              <w:top w:val="nil"/>
              <w:left w:val="nil"/>
              <w:bottom w:val="nil"/>
              <w:right w:val="nil"/>
              <w:between w:val="nil"/>
            </w:pBdr>
            <w:tabs>
              <w:tab w:val="center" w:pos="4536"/>
              <w:tab w:val="right" w:pos="9072"/>
            </w:tabs>
            <w:spacing w:before="0" w:after="0"/>
            <w:ind w:left="28"/>
            <w:rPr>
              <w:color w:val="000000"/>
            </w:rPr>
          </w:pPr>
          <w:bookmarkStart w:id="4" w:name="_Hlk142137302"/>
          <w:r>
            <w:rPr>
              <w:noProof/>
              <w:color w:val="000000"/>
            </w:rPr>
            <w:drawing>
              <wp:inline distT="0" distB="0" distL="0" distR="0" wp14:anchorId="46699B3C" wp14:editId="5C751A59">
                <wp:extent cx="914400" cy="914400"/>
                <wp:effectExtent l="0" t="0" r="0" b="0"/>
                <wp:docPr id="71079737" name="Picture 71079737" descr="Description: C:\Users\COSTAC~1\AppData\Local\Temp\Rar$DIa0.229\sigla_guv_coroana_albastru_fundal alb.png"/>
                <wp:cNvGraphicFramePr/>
                <a:graphic xmlns:a="http://schemas.openxmlformats.org/drawingml/2006/main">
                  <a:graphicData uri="http://schemas.openxmlformats.org/drawingml/2006/picture">
                    <pic:pic xmlns:pic="http://schemas.openxmlformats.org/drawingml/2006/picture">
                      <pic:nvPicPr>
                        <pic:cNvPr id="0" name="image1.png" descr="Description: C:\Users\COSTAC~1\AppData\Local\Temp\Rar$DIa0.229\sigla_guv_coroana_albastru_fundal alb.png"/>
                        <pic:cNvPicPr preferRelativeResize="0"/>
                      </pic:nvPicPr>
                      <pic:blipFill>
                        <a:blip r:embed="rId1"/>
                        <a:srcRect/>
                        <a:stretch>
                          <a:fillRect/>
                        </a:stretch>
                      </pic:blipFill>
                      <pic:spPr>
                        <a:xfrm>
                          <a:off x="0" y="0"/>
                          <a:ext cx="914400" cy="914400"/>
                        </a:xfrm>
                        <a:prstGeom prst="rect">
                          <a:avLst/>
                        </a:prstGeom>
                        <a:ln/>
                      </pic:spPr>
                    </pic:pic>
                  </a:graphicData>
                </a:graphic>
              </wp:inline>
            </w:drawing>
          </w:r>
        </w:p>
      </w:tc>
      <w:tc>
        <w:tcPr>
          <w:tcW w:w="7154" w:type="dxa"/>
          <w:shd w:val="clear" w:color="auto" w:fill="auto"/>
          <w:vAlign w:val="center"/>
        </w:tcPr>
        <w:p w14:paraId="3D88A054" w14:textId="77777777" w:rsidR="00A213FE" w:rsidRDefault="00A213FE" w:rsidP="00A213FE">
          <w:pPr>
            <w:pBdr>
              <w:top w:val="nil"/>
              <w:left w:val="nil"/>
              <w:bottom w:val="nil"/>
              <w:right w:val="nil"/>
              <w:between w:val="nil"/>
            </w:pBdr>
            <w:ind w:left="-47"/>
            <w:rPr>
              <w:rFonts w:ascii="Trajan Pro" w:eastAsia="Trajan Pro" w:hAnsi="Trajan Pro" w:cs="Trajan Pro"/>
              <w:color w:val="000000"/>
              <w:sz w:val="32"/>
              <w:szCs w:val="32"/>
            </w:rPr>
          </w:pPr>
          <w:r>
            <w:rPr>
              <w:rFonts w:ascii="Trajan Pro" w:eastAsia="Trajan Pro" w:hAnsi="Trajan Pro" w:cs="Trajan Pro"/>
              <w:color w:val="000000"/>
              <w:sz w:val="32"/>
              <w:szCs w:val="32"/>
            </w:rPr>
            <w:t>Ministerul Investițiilor și Proiectelor Europene</w:t>
          </w:r>
        </w:p>
      </w:tc>
    </w:tr>
    <w:bookmarkEnd w:id="4"/>
  </w:tbl>
  <w:p w14:paraId="781E35C9" w14:textId="587EFFF6" w:rsidR="00A213FE" w:rsidRDefault="00A21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9268B"/>
    <w:multiLevelType w:val="hybridMultilevel"/>
    <w:tmpl w:val="B4BC3F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1BA11852"/>
    <w:multiLevelType w:val="multilevel"/>
    <w:tmpl w:val="935C99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0A12A4F"/>
    <w:multiLevelType w:val="multilevel"/>
    <w:tmpl w:val="BBE605EE"/>
    <w:lvl w:ilvl="0">
      <w:start w:val="1"/>
      <w:numFmt w:val="decimal"/>
      <w:pStyle w:val="Heading1"/>
      <w:lvlText w:val="%1."/>
      <w:lvlJc w:val="left"/>
      <w:pPr>
        <w:ind w:left="1080" w:hanging="360"/>
      </w:pPr>
    </w:lvl>
    <w:lvl w:ilvl="1">
      <w:start w:val="1"/>
      <w:numFmt w:val="lowerLetter"/>
      <w:pStyle w:val="Heading2"/>
      <w:lvlText w:val="%2."/>
      <w:lvlJc w:val="left"/>
      <w:pPr>
        <w:ind w:left="1800" w:hanging="360"/>
      </w:pPr>
    </w:lvl>
    <w:lvl w:ilvl="2">
      <w:start w:val="1"/>
      <w:numFmt w:val="lowerRoman"/>
      <w:pStyle w:val="Heading3"/>
      <w:lvlText w:val="%3."/>
      <w:lvlJc w:val="right"/>
      <w:pPr>
        <w:ind w:left="2520" w:hanging="180"/>
      </w:pPr>
    </w:lvl>
    <w:lvl w:ilvl="3">
      <w:start w:val="1"/>
      <w:numFmt w:val="decimal"/>
      <w:pStyle w:val="Heading4"/>
      <w:lvlText w:val="%4."/>
      <w:lvlJc w:val="left"/>
      <w:pPr>
        <w:ind w:left="3240" w:hanging="360"/>
      </w:pPr>
    </w:lvl>
    <w:lvl w:ilvl="4">
      <w:start w:val="1"/>
      <w:numFmt w:val="lowerLetter"/>
      <w:pStyle w:val="Heading5"/>
      <w:lvlText w:val="%5."/>
      <w:lvlJc w:val="left"/>
      <w:pPr>
        <w:ind w:left="3960" w:hanging="360"/>
      </w:pPr>
    </w:lvl>
    <w:lvl w:ilvl="5">
      <w:start w:val="1"/>
      <w:numFmt w:val="lowerRoman"/>
      <w:pStyle w:val="Heading6"/>
      <w:lvlText w:val="%6."/>
      <w:lvlJc w:val="right"/>
      <w:pPr>
        <w:ind w:left="4680" w:hanging="180"/>
      </w:pPr>
    </w:lvl>
    <w:lvl w:ilvl="6">
      <w:start w:val="1"/>
      <w:numFmt w:val="decimal"/>
      <w:pStyle w:val="Heading7"/>
      <w:lvlText w:val="%7."/>
      <w:lvlJc w:val="left"/>
      <w:pPr>
        <w:ind w:left="5400" w:hanging="360"/>
      </w:pPr>
    </w:lvl>
    <w:lvl w:ilvl="7">
      <w:start w:val="1"/>
      <w:numFmt w:val="lowerLetter"/>
      <w:pStyle w:val="Heading8"/>
      <w:lvlText w:val="%8."/>
      <w:lvlJc w:val="left"/>
      <w:pPr>
        <w:ind w:left="6120" w:hanging="360"/>
      </w:pPr>
    </w:lvl>
    <w:lvl w:ilvl="8">
      <w:start w:val="1"/>
      <w:numFmt w:val="lowerRoman"/>
      <w:pStyle w:val="Heading9"/>
      <w:lvlText w:val="%9."/>
      <w:lvlJc w:val="right"/>
      <w:pPr>
        <w:ind w:left="6840" w:hanging="180"/>
      </w:pPr>
    </w:lvl>
  </w:abstractNum>
  <w:num w:numId="1" w16cid:durableId="840386852">
    <w:abstractNumId w:val="2"/>
  </w:num>
  <w:num w:numId="2" w16cid:durableId="923954656">
    <w:abstractNumId w:val="1"/>
  </w:num>
  <w:num w:numId="3" w16cid:durableId="973490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EB"/>
    <w:rsid w:val="00225258"/>
    <w:rsid w:val="002A7DCE"/>
    <w:rsid w:val="002C36EB"/>
    <w:rsid w:val="002E7425"/>
    <w:rsid w:val="00853AAB"/>
    <w:rsid w:val="009D409C"/>
    <w:rsid w:val="00A213FE"/>
    <w:rsid w:val="00A933AF"/>
    <w:rsid w:val="00CA1374"/>
    <w:rsid w:val="00DD57F8"/>
    <w:rsid w:val="00F8603E"/>
    <w:rsid w:val="00FA2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EF735"/>
  <w15:chartTrackingRefBased/>
  <w15:docId w15:val="{15790054-A70E-4B4A-89E7-032214EB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3FE"/>
    <w:pPr>
      <w:spacing w:before="120" w:after="120" w:line="240" w:lineRule="auto"/>
      <w:ind w:left="720"/>
      <w:jc w:val="both"/>
    </w:pPr>
    <w:rPr>
      <w:rFonts w:ascii="Calibri" w:eastAsia="Calibri" w:hAnsi="Calibri" w:cs="Calibri"/>
      <w:kern w:val="0"/>
      <w:lang w:val="ro-RO"/>
      <w14:ligatures w14:val="none"/>
    </w:rPr>
  </w:style>
  <w:style w:type="paragraph" w:styleId="Heading1">
    <w:name w:val="heading 1"/>
    <w:basedOn w:val="Normal"/>
    <w:next w:val="Normal"/>
    <w:link w:val="Heading1Char"/>
    <w:uiPriority w:val="9"/>
    <w:qFormat/>
    <w:rsid w:val="00A213FE"/>
    <w:pPr>
      <w:keepNext/>
      <w:keepLines/>
      <w:numPr>
        <w:numId w:val="1"/>
      </w:numPr>
      <w:spacing w:before="240" w:after="240"/>
      <w:outlineLvl w:val="0"/>
    </w:pPr>
    <w:rPr>
      <w:rFonts w:asciiTheme="majorHAnsi" w:eastAsiaTheme="majorEastAsia" w:hAnsiTheme="majorHAnsi" w:cstheme="majorBidi"/>
      <w:color w:val="4472C4" w:themeColor="accent1"/>
      <w:sz w:val="32"/>
      <w:szCs w:val="32"/>
    </w:rPr>
  </w:style>
  <w:style w:type="paragraph" w:styleId="Heading2">
    <w:name w:val="heading 2"/>
    <w:basedOn w:val="Normal"/>
    <w:next w:val="Normal"/>
    <w:link w:val="Heading2Char"/>
    <w:uiPriority w:val="9"/>
    <w:unhideWhenUsed/>
    <w:qFormat/>
    <w:rsid w:val="00A213FE"/>
    <w:pPr>
      <w:keepNext/>
      <w:keepLines/>
      <w:numPr>
        <w:ilvl w:val="1"/>
        <w:numId w:val="1"/>
      </w:numPr>
      <w:spacing w:before="240" w:after="0"/>
      <w:outlineLvl w:val="1"/>
    </w:pPr>
    <w:rPr>
      <w:rFonts w:asciiTheme="majorHAnsi" w:eastAsiaTheme="majorEastAsia" w:hAnsiTheme="majorHAnsi" w:cstheme="majorBidi"/>
      <w:color w:val="4472C4" w:themeColor="accent1"/>
      <w:sz w:val="28"/>
      <w:szCs w:val="26"/>
    </w:rPr>
  </w:style>
  <w:style w:type="paragraph" w:styleId="Heading3">
    <w:name w:val="heading 3"/>
    <w:basedOn w:val="Normal"/>
    <w:next w:val="Normal"/>
    <w:link w:val="Heading3Char"/>
    <w:uiPriority w:val="9"/>
    <w:unhideWhenUsed/>
    <w:qFormat/>
    <w:rsid w:val="00A213FE"/>
    <w:pPr>
      <w:keepNext/>
      <w:keepLines/>
      <w:numPr>
        <w:ilvl w:val="2"/>
        <w:numId w:val="1"/>
      </w:numPr>
      <w:spacing w:after="0"/>
      <w:outlineLvl w:val="2"/>
    </w:pPr>
    <w:rPr>
      <w:rFonts w:asciiTheme="majorHAnsi" w:eastAsiaTheme="majorEastAsia" w:hAnsiTheme="majorHAnsi" w:cstheme="majorBidi"/>
      <w:b/>
      <w:color w:val="4472C4" w:themeColor="accent1"/>
      <w:sz w:val="24"/>
      <w:szCs w:val="24"/>
    </w:rPr>
  </w:style>
  <w:style w:type="paragraph" w:styleId="Heading4">
    <w:name w:val="heading 4"/>
    <w:basedOn w:val="Normal"/>
    <w:next w:val="Normal"/>
    <w:link w:val="Heading4Char"/>
    <w:uiPriority w:val="9"/>
    <w:unhideWhenUsed/>
    <w:qFormat/>
    <w:rsid w:val="00A213F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213F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213F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213F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213F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213F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3FE"/>
    <w:rPr>
      <w:rFonts w:asciiTheme="majorHAnsi" w:eastAsiaTheme="majorEastAsia" w:hAnsiTheme="majorHAnsi" w:cstheme="majorBidi"/>
      <w:color w:val="4472C4" w:themeColor="accent1"/>
      <w:kern w:val="0"/>
      <w:sz w:val="32"/>
      <w:szCs w:val="32"/>
      <w:lang w:val="ro-RO"/>
      <w14:ligatures w14:val="none"/>
    </w:rPr>
  </w:style>
  <w:style w:type="character" w:customStyle="1" w:styleId="Heading2Char">
    <w:name w:val="Heading 2 Char"/>
    <w:basedOn w:val="DefaultParagraphFont"/>
    <w:link w:val="Heading2"/>
    <w:uiPriority w:val="9"/>
    <w:rsid w:val="00A213FE"/>
    <w:rPr>
      <w:rFonts w:asciiTheme="majorHAnsi" w:eastAsiaTheme="majorEastAsia" w:hAnsiTheme="majorHAnsi" w:cstheme="majorBidi"/>
      <w:color w:val="4472C4" w:themeColor="accent1"/>
      <w:kern w:val="0"/>
      <w:sz w:val="28"/>
      <w:szCs w:val="26"/>
      <w:lang w:val="ro-RO"/>
      <w14:ligatures w14:val="none"/>
    </w:rPr>
  </w:style>
  <w:style w:type="character" w:customStyle="1" w:styleId="Heading3Char">
    <w:name w:val="Heading 3 Char"/>
    <w:basedOn w:val="DefaultParagraphFont"/>
    <w:link w:val="Heading3"/>
    <w:uiPriority w:val="9"/>
    <w:rsid w:val="00A213FE"/>
    <w:rPr>
      <w:rFonts w:asciiTheme="majorHAnsi" w:eastAsiaTheme="majorEastAsia" w:hAnsiTheme="majorHAnsi" w:cstheme="majorBidi"/>
      <w:b/>
      <w:color w:val="4472C4" w:themeColor="accent1"/>
      <w:kern w:val="0"/>
      <w:sz w:val="24"/>
      <w:szCs w:val="24"/>
      <w:lang w:val="ro-RO"/>
      <w14:ligatures w14:val="none"/>
    </w:rPr>
  </w:style>
  <w:style w:type="character" w:customStyle="1" w:styleId="Heading4Char">
    <w:name w:val="Heading 4 Char"/>
    <w:basedOn w:val="DefaultParagraphFont"/>
    <w:link w:val="Heading4"/>
    <w:uiPriority w:val="9"/>
    <w:rsid w:val="00A213FE"/>
    <w:rPr>
      <w:rFonts w:asciiTheme="majorHAnsi" w:eastAsiaTheme="majorEastAsia" w:hAnsiTheme="majorHAnsi" w:cstheme="majorBidi"/>
      <w:i/>
      <w:iCs/>
      <w:color w:val="2F5496" w:themeColor="accent1" w:themeShade="BF"/>
      <w:kern w:val="0"/>
      <w:lang w:val="ro-RO"/>
      <w14:ligatures w14:val="none"/>
    </w:rPr>
  </w:style>
  <w:style w:type="character" w:customStyle="1" w:styleId="Heading5Char">
    <w:name w:val="Heading 5 Char"/>
    <w:basedOn w:val="DefaultParagraphFont"/>
    <w:link w:val="Heading5"/>
    <w:uiPriority w:val="9"/>
    <w:semiHidden/>
    <w:rsid w:val="00A213FE"/>
    <w:rPr>
      <w:rFonts w:asciiTheme="majorHAnsi" w:eastAsiaTheme="majorEastAsia" w:hAnsiTheme="majorHAnsi" w:cstheme="majorBidi"/>
      <w:color w:val="2F5496" w:themeColor="accent1" w:themeShade="BF"/>
      <w:kern w:val="0"/>
      <w:lang w:val="ro-RO"/>
      <w14:ligatures w14:val="none"/>
    </w:rPr>
  </w:style>
  <w:style w:type="character" w:customStyle="1" w:styleId="Heading6Char">
    <w:name w:val="Heading 6 Char"/>
    <w:basedOn w:val="DefaultParagraphFont"/>
    <w:link w:val="Heading6"/>
    <w:uiPriority w:val="9"/>
    <w:semiHidden/>
    <w:rsid w:val="00A213FE"/>
    <w:rPr>
      <w:rFonts w:asciiTheme="majorHAnsi" w:eastAsiaTheme="majorEastAsia" w:hAnsiTheme="majorHAnsi" w:cstheme="majorBidi"/>
      <w:color w:val="1F3763" w:themeColor="accent1" w:themeShade="7F"/>
      <w:kern w:val="0"/>
      <w:lang w:val="ro-RO"/>
      <w14:ligatures w14:val="none"/>
    </w:rPr>
  </w:style>
  <w:style w:type="character" w:customStyle="1" w:styleId="Heading7Char">
    <w:name w:val="Heading 7 Char"/>
    <w:basedOn w:val="DefaultParagraphFont"/>
    <w:link w:val="Heading7"/>
    <w:uiPriority w:val="9"/>
    <w:semiHidden/>
    <w:rsid w:val="00A213FE"/>
    <w:rPr>
      <w:rFonts w:asciiTheme="majorHAnsi" w:eastAsiaTheme="majorEastAsia" w:hAnsiTheme="majorHAnsi" w:cstheme="majorBidi"/>
      <w:i/>
      <w:iCs/>
      <w:color w:val="1F3763" w:themeColor="accent1" w:themeShade="7F"/>
      <w:kern w:val="0"/>
      <w:lang w:val="ro-RO"/>
      <w14:ligatures w14:val="none"/>
    </w:rPr>
  </w:style>
  <w:style w:type="character" w:customStyle="1" w:styleId="Heading8Char">
    <w:name w:val="Heading 8 Char"/>
    <w:basedOn w:val="DefaultParagraphFont"/>
    <w:link w:val="Heading8"/>
    <w:uiPriority w:val="9"/>
    <w:semiHidden/>
    <w:rsid w:val="00A213FE"/>
    <w:rPr>
      <w:rFonts w:asciiTheme="majorHAnsi" w:eastAsiaTheme="majorEastAsia" w:hAnsiTheme="majorHAnsi" w:cstheme="majorBidi"/>
      <w:color w:val="272727" w:themeColor="text1" w:themeTint="D8"/>
      <w:kern w:val="0"/>
      <w:sz w:val="21"/>
      <w:szCs w:val="21"/>
      <w:lang w:val="ro-RO"/>
      <w14:ligatures w14:val="none"/>
    </w:rPr>
  </w:style>
  <w:style w:type="character" w:customStyle="1" w:styleId="Heading9Char">
    <w:name w:val="Heading 9 Char"/>
    <w:basedOn w:val="DefaultParagraphFont"/>
    <w:link w:val="Heading9"/>
    <w:uiPriority w:val="9"/>
    <w:semiHidden/>
    <w:rsid w:val="00A213FE"/>
    <w:rPr>
      <w:rFonts w:asciiTheme="majorHAnsi" w:eastAsiaTheme="majorEastAsia" w:hAnsiTheme="majorHAnsi" w:cstheme="majorBidi"/>
      <w:i/>
      <w:iCs/>
      <w:color w:val="272727" w:themeColor="text1" w:themeTint="D8"/>
      <w:kern w:val="0"/>
      <w:sz w:val="21"/>
      <w:szCs w:val="21"/>
      <w:lang w:val="ro-RO"/>
      <w14:ligatures w14:val="none"/>
    </w:rPr>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
    <w:uiPriority w:val="34"/>
    <w:qFormat/>
    <w:rsid w:val="00A213FE"/>
    <w:pPr>
      <w:contextualSpacing/>
    </w:pPr>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link w:val="ListParagraph"/>
    <w:uiPriority w:val="34"/>
    <w:qFormat/>
    <w:locked/>
    <w:rsid w:val="00A213FE"/>
    <w:rPr>
      <w:rFonts w:ascii="Calibri" w:eastAsia="Calibri" w:hAnsi="Calibri" w:cs="Calibri"/>
      <w:kern w:val="0"/>
      <w:lang w:val="ro-RO"/>
      <w14:ligatures w14:val="none"/>
    </w:rPr>
  </w:style>
  <w:style w:type="character" w:customStyle="1" w:styleId="5NormalChar">
    <w:name w:val="5 Normal Char"/>
    <w:link w:val="5Normal"/>
    <w:locked/>
    <w:rsid w:val="00A213FE"/>
    <w:rPr>
      <w:rFonts w:ascii="Trebuchet MS" w:hAnsi="Trebuchet MS"/>
      <w:spacing w:val="-2"/>
      <w:szCs w:val="24"/>
    </w:rPr>
  </w:style>
  <w:style w:type="paragraph" w:customStyle="1" w:styleId="5Normal">
    <w:name w:val="5 Normal"/>
    <w:basedOn w:val="Normal"/>
    <w:link w:val="5NormalChar"/>
    <w:qFormat/>
    <w:rsid w:val="00A213F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before="0"/>
      <w:ind w:left="0" w:right="57"/>
    </w:pPr>
    <w:rPr>
      <w:rFonts w:ascii="Trebuchet MS" w:eastAsiaTheme="minorHAnsi" w:hAnsi="Trebuchet MS" w:cstheme="minorBidi"/>
      <w:spacing w:val="-2"/>
      <w:kern w:val="2"/>
      <w:szCs w:val="24"/>
      <w:lang w:val="en-US"/>
      <w14:ligatures w14:val="standardContextual"/>
    </w:rPr>
  </w:style>
  <w:style w:type="character" w:customStyle="1" w:styleId="FontStyle37">
    <w:name w:val="Font Style37"/>
    <w:uiPriority w:val="99"/>
    <w:rsid w:val="00A213FE"/>
    <w:rPr>
      <w:rFonts w:ascii="Calibri" w:hAnsi="Calibri" w:cs="Calibri" w:hint="default"/>
      <w:sz w:val="22"/>
      <w:szCs w:val="22"/>
    </w:rPr>
  </w:style>
  <w:style w:type="character" w:customStyle="1" w:styleId="sden">
    <w:name w:val="s_den"/>
    <w:basedOn w:val="DefaultParagraphFont"/>
    <w:rsid w:val="00A213FE"/>
  </w:style>
  <w:style w:type="table" w:styleId="TableGrid">
    <w:name w:val="Table Grid"/>
    <w:basedOn w:val="TableNormal"/>
    <w:uiPriority w:val="39"/>
    <w:rsid w:val="00A21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13FE"/>
    <w:pPr>
      <w:tabs>
        <w:tab w:val="center" w:pos="4680"/>
        <w:tab w:val="right" w:pos="9360"/>
      </w:tabs>
      <w:spacing w:before="0" w:after="0"/>
    </w:pPr>
  </w:style>
  <w:style w:type="character" w:customStyle="1" w:styleId="HeaderChar">
    <w:name w:val="Header Char"/>
    <w:basedOn w:val="DefaultParagraphFont"/>
    <w:link w:val="Header"/>
    <w:uiPriority w:val="99"/>
    <w:rsid w:val="00A213FE"/>
    <w:rPr>
      <w:rFonts w:ascii="Calibri" w:eastAsia="Calibri" w:hAnsi="Calibri" w:cs="Calibri"/>
      <w:kern w:val="0"/>
      <w:lang w:val="ro-RO"/>
      <w14:ligatures w14:val="none"/>
    </w:rPr>
  </w:style>
  <w:style w:type="paragraph" w:styleId="Footer">
    <w:name w:val="footer"/>
    <w:basedOn w:val="Normal"/>
    <w:link w:val="FooterChar"/>
    <w:uiPriority w:val="99"/>
    <w:unhideWhenUsed/>
    <w:rsid w:val="00A213FE"/>
    <w:pPr>
      <w:tabs>
        <w:tab w:val="center" w:pos="4680"/>
        <w:tab w:val="right" w:pos="9360"/>
      </w:tabs>
      <w:spacing w:before="0" w:after="0"/>
    </w:pPr>
  </w:style>
  <w:style w:type="character" w:customStyle="1" w:styleId="FooterChar">
    <w:name w:val="Footer Char"/>
    <w:basedOn w:val="DefaultParagraphFont"/>
    <w:link w:val="Footer"/>
    <w:uiPriority w:val="99"/>
    <w:rsid w:val="00A213FE"/>
    <w:rPr>
      <w:rFonts w:ascii="Calibri" w:eastAsia="Calibri" w:hAnsi="Calibri" w:cs="Calibri"/>
      <w:kern w:val="0"/>
      <w:lang w:val="ro-RO"/>
      <w14:ligatures w14:val="none"/>
    </w:rPr>
  </w:style>
  <w:style w:type="character" w:customStyle="1" w:styleId="shdr">
    <w:name w:val="s_hdr"/>
    <w:basedOn w:val="DefaultParagraphFont"/>
    <w:rsid w:val="00CA1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49731" TargetMode="External"/><Relationship Id="rId3" Type="http://schemas.openxmlformats.org/officeDocument/2006/relationships/settings" Target="settings.xml"/><Relationship Id="rId7" Type="http://schemas.openxmlformats.org/officeDocument/2006/relationships/hyperlink" Target="https://legislatie.just.ro/Public/DetaliiDocumentAfis/2568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1637</Words>
  <Characters>9332</Characters>
  <Application>Microsoft Office Word</Application>
  <DocSecurity>0</DocSecurity>
  <Lines>77</Lines>
  <Paragraphs>21</Paragraphs>
  <ScaleCrop>false</ScaleCrop>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min6 inv6</dc:creator>
  <cp:keywords/>
  <dc:description/>
  <cp:lastModifiedBy>min6 inv6</cp:lastModifiedBy>
  <cp:revision>6</cp:revision>
  <dcterms:created xsi:type="dcterms:W3CDTF">2023-08-05T10:58:00Z</dcterms:created>
  <dcterms:modified xsi:type="dcterms:W3CDTF">2023-08-15T05:51:00Z</dcterms:modified>
</cp:coreProperties>
</file>