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38A12" w14:textId="3ED3759D" w:rsidR="00A948BF" w:rsidRPr="008D1192" w:rsidRDefault="00A948BF" w:rsidP="00A948BF">
      <w:pPr>
        <w:spacing w:before="0" w:after="0"/>
        <w:rPr>
          <w:rFonts w:asciiTheme="minorHAnsi" w:hAnsiTheme="minorHAnsi" w:cstheme="minorHAnsi"/>
          <w:b/>
          <w:bCs/>
          <w:color w:val="0070C0"/>
          <w:highlight w:val="white"/>
        </w:rPr>
      </w:pPr>
      <w:r w:rsidRPr="008D1192">
        <w:rPr>
          <w:rFonts w:asciiTheme="minorHAnsi" w:hAnsiTheme="minorHAnsi" w:cstheme="minorHAnsi"/>
          <w:b/>
          <w:bCs/>
          <w:color w:val="0070C0"/>
          <w:highlight w:val="white"/>
        </w:rPr>
        <w:t xml:space="preserve">Anexa 14.3_Listă domenii excluse din aria de aplicare a regulamentelor aplicabile </w:t>
      </w:r>
    </w:p>
    <w:p w14:paraId="14AD9EEE" w14:textId="77777777" w:rsidR="00FF4273" w:rsidRPr="008D1192" w:rsidRDefault="00FF4273" w:rsidP="00A948BF">
      <w:pPr>
        <w:spacing w:before="0" w:after="0"/>
        <w:rPr>
          <w:rFonts w:asciiTheme="minorHAnsi" w:hAnsiTheme="minorHAnsi" w:cstheme="minorHAnsi"/>
          <w:b/>
          <w:bCs/>
          <w:color w:val="0070C0"/>
          <w:highlight w:val="white"/>
        </w:rPr>
      </w:pPr>
    </w:p>
    <w:sdt>
      <w:sdtPr>
        <w:rPr>
          <w:rFonts w:asciiTheme="minorHAnsi" w:eastAsia="Calibri" w:hAnsiTheme="minorHAnsi" w:cstheme="minorHAnsi"/>
          <w:color w:val="auto"/>
          <w:sz w:val="22"/>
          <w:szCs w:val="22"/>
          <w:lang w:val="ro-RO"/>
        </w:rPr>
        <w:id w:val="-1681420999"/>
        <w:docPartObj>
          <w:docPartGallery w:val="Table of Contents"/>
          <w:docPartUnique/>
        </w:docPartObj>
      </w:sdtPr>
      <w:sdtEndPr>
        <w:rPr>
          <w:b/>
          <w:bCs/>
          <w:noProof/>
        </w:rPr>
      </w:sdtEndPr>
      <w:sdtContent>
        <w:p w14:paraId="577980D2" w14:textId="2F684322" w:rsidR="00FF4273" w:rsidRPr="008D1192" w:rsidRDefault="00FF4273">
          <w:pPr>
            <w:pStyle w:val="TOCHeading"/>
            <w:rPr>
              <w:rFonts w:asciiTheme="minorHAnsi" w:hAnsiTheme="minorHAnsi" w:cstheme="minorHAnsi"/>
              <w:sz w:val="22"/>
              <w:szCs w:val="22"/>
            </w:rPr>
          </w:pPr>
          <w:r w:rsidRPr="008D1192">
            <w:rPr>
              <w:rFonts w:asciiTheme="minorHAnsi" w:hAnsiTheme="minorHAnsi" w:cstheme="minorHAnsi"/>
              <w:sz w:val="22"/>
              <w:szCs w:val="22"/>
            </w:rPr>
            <w:t>Contents</w:t>
          </w:r>
        </w:p>
        <w:p w14:paraId="4E289BE7" w14:textId="595F62ED" w:rsidR="00771AA7" w:rsidRDefault="00FF4273">
          <w:pPr>
            <w:pStyle w:val="TOC1"/>
            <w:tabs>
              <w:tab w:val="right" w:leader="dot" w:pos="9620"/>
            </w:tabs>
            <w:rPr>
              <w:rFonts w:asciiTheme="minorHAnsi" w:eastAsiaTheme="minorEastAsia" w:hAnsiTheme="minorHAnsi" w:cstheme="minorBidi"/>
              <w:noProof/>
              <w:kern w:val="2"/>
              <w:lang w:val="en-US"/>
              <w14:ligatures w14:val="standardContextual"/>
            </w:rPr>
          </w:pPr>
          <w:r w:rsidRPr="008D1192">
            <w:rPr>
              <w:rFonts w:asciiTheme="minorHAnsi" w:hAnsiTheme="minorHAnsi" w:cstheme="minorHAnsi"/>
            </w:rPr>
            <w:fldChar w:fldCharType="begin"/>
          </w:r>
          <w:r w:rsidRPr="008D1192">
            <w:rPr>
              <w:rFonts w:asciiTheme="minorHAnsi" w:hAnsiTheme="minorHAnsi" w:cstheme="minorHAnsi"/>
            </w:rPr>
            <w:instrText xml:space="preserve"> TOC \o "1-3" \h \z \u </w:instrText>
          </w:r>
          <w:r w:rsidRPr="008D1192">
            <w:rPr>
              <w:rFonts w:asciiTheme="minorHAnsi" w:hAnsiTheme="minorHAnsi" w:cstheme="minorHAnsi"/>
            </w:rPr>
            <w:fldChar w:fldCharType="separate"/>
          </w:r>
          <w:hyperlink w:anchor="_Toc142334803" w:history="1">
            <w:r w:rsidR="00771AA7" w:rsidRPr="00052B30">
              <w:rPr>
                <w:rStyle w:val="Hyperlink"/>
                <w:rFonts w:cstheme="minorHAnsi"/>
                <w:noProof/>
              </w:rPr>
              <w:t>A. Condiții legate de Regulamentul UE 1060/2021, cu modificările și completările ulterioare (Regulament Comun;</w:t>
            </w:r>
            <w:r w:rsidR="00771AA7">
              <w:rPr>
                <w:noProof/>
                <w:webHidden/>
              </w:rPr>
              <w:tab/>
            </w:r>
            <w:r w:rsidR="00771AA7">
              <w:rPr>
                <w:noProof/>
                <w:webHidden/>
              </w:rPr>
              <w:fldChar w:fldCharType="begin"/>
            </w:r>
            <w:r w:rsidR="00771AA7">
              <w:rPr>
                <w:noProof/>
                <w:webHidden/>
              </w:rPr>
              <w:instrText xml:space="preserve"> PAGEREF _Toc142334803 \h </w:instrText>
            </w:r>
            <w:r w:rsidR="00771AA7">
              <w:rPr>
                <w:noProof/>
                <w:webHidden/>
              </w:rPr>
            </w:r>
            <w:r w:rsidR="00771AA7">
              <w:rPr>
                <w:noProof/>
                <w:webHidden/>
              </w:rPr>
              <w:fldChar w:fldCharType="separate"/>
            </w:r>
            <w:r w:rsidR="00771AA7">
              <w:rPr>
                <w:noProof/>
                <w:webHidden/>
              </w:rPr>
              <w:t>1</w:t>
            </w:r>
            <w:r w:rsidR="00771AA7">
              <w:rPr>
                <w:noProof/>
                <w:webHidden/>
              </w:rPr>
              <w:fldChar w:fldCharType="end"/>
            </w:r>
          </w:hyperlink>
        </w:p>
        <w:p w14:paraId="06F1DD04" w14:textId="25B99A55" w:rsidR="00771AA7" w:rsidRDefault="00771AA7">
          <w:pPr>
            <w:pStyle w:val="TOC1"/>
            <w:tabs>
              <w:tab w:val="right" w:leader="dot" w:pos="9620"/>
            </w:tabs>
            <w:rPr>
              <w:rFonts w:asciiTheme="minorHAnsi" w:eastAsiaTheme="minorEastAsia" w:hAnsiTheme="minorHAnsi" w:cstheme="minorBidi"/>
              <w:noProof/>
              <w:kern w:val="2"/>
              <w:lang w:val="en-US"/>
              <w14:ligatures w14:val="standardContextual"/>
            </w:rPr>
          </w:pPr>
          <w:hyperlink w:anchor="_Toc142334804" w:history="1">
            <w:r w:rsidRPr="00052B30">
              <w:rPr>
                <w:rStyle w:val="Hyperlink"/>
                <w:rFonts w:cstheme="minorHAnsi"/>
                <w:noProof/>
              </w:rPr>
              <w:t>B. Condiții legate de Regulamentul UE 1056/2021, cu modificările și completările ulterioare;</w:t>
            </w:r>
            <w:r>
              <w:rPr>
                <w:noProof/>
                <w:webHidden/>
              </w:rPr>
              <w:tab/>
            </w:r>
            <w:r>
              <w:rPr>
                <w:noProof/>
                <w:webHidden/>
              </w:rPr>
              <w:fldChar w:fldCharType="begin"/>
            </w:r>
            <w:r>
              <w:rPr>
                <w:noProof/>
                <w:webHidden/>
              </w:rPr>
              <w:instrText xml:space="preserve"> PAGEREF _Toc142334804 \h </w:instrText>
            </w:r>
            <w:r>
              <w:rPr>
                <w:noProof/>
                <w:webHidden/>
              </w:rPr>
            </w:r>
            <w:r>
              <w:rPr>
                <w:noProof/>
                <w:webHidden/>
              </w:rPr>
              <w:fldChar w:fldCharType="separate"/>
            </w:r>
            <w:r>
              <w:rPr>
                <w:noProof/>
                <w:webHidden/>
              </w:rPr>
              <w:t>2</w:t>
            </w:r>
            <w:r>
              <w:rPr>
                <w:noProof/>
                <w:webHidden/>
              </w:rPr>
              <w:fldChar w:fldCharType="end"/>
            </w:r>
          </w:hyperlink>
        </w:p>
        <w:p w14:paraId="07B88BBE" w14:textId="2058D25D" w:rsidR="00771AA7" w:rsidRDefault="00771AA7">
          <w:pPr>
            <w:pStyle w:val="TOC1"/>
            <w:tabs>
              <w:tab w:val="right" w:leader="dot" w:pos="9620"/>
            </w:tabs>
            <w:rPr>
              <w:rFonts w:asciiTheme="minorHAnsi" w:eastAsiaTheme="minorEastAsia" w:hAnsiTheme="minorHAnsi" w:cstheme="minorBidi"/>
              <w:noProof/>
              <w:kern w:val="2"/>
              <w:lang w:val="en-US"/>
              <w14:ligatures w14:val="standardContextual"/>
            </w:rPr>
          </w:pPr>
          <w:hyperlink w:anchor="_Toc142334805" w:history="1">
            <w:r w:rsidRPr="00052B30">
              <w:rPr>
                <w:rStyle w:val="Hyperlink"/>
                <w:rFonts w:cstheme="minorHAnsi"/>
                <w:noProof/>
              </w:rPr>
              <w:t>C. Condiții legate de domeniile de excludere din Regulamentul UE nr. 651/2014, cu modificările și completările ulterioare</w:t>
            </w:r>
            <w:r>
              <w:rPr>
                <w:noProof/>
                <w:webHidden/>
              </w:rPr>
              <w:tab/>
            </w:r>
            <w:r>
              <w:rPr>
                <w:noProof/>
                <w:webHidden/>
              </w:rPr>
              <w:fldChar w:fldCharType="begin"/>
            </w:r>
            <w:r>
              <w:rPr>
                <w:noProof/>
                <w:webHidden/>
              </w:rPr>
              <w:instrText xml:space="preserve"> PAGEREF _Toc142334805 \h </w:instrText>
            </w:r>
            <w:r>
              <w:rPr>
                <w:noProof/>
                <w:webHidden/>
              </w:rPr>
            </w:r>
            <w:r>
              <w:rPr>
                <w:noProof/>
                <w:webHidden/>
              </w:rPr>
              <w:fldChar w:fldCharType="separate"/>
            </w:r>
            <w:r>
              <w:rPr>
                <w:noProof/>
                <w:webHidden/>
              </w:rPr>
              <w:t>3</w:t>
            </w:r>
            <w:r>
              <w:rPr>
                <w:noProof/>
                <w:webHidden/>
              </w:rPr>
              <w:fldChar w:fldCharType="end"/>
            </w:r>
          </w:hyperlink>
        </w:p>
        <w:p w14:paraId="4DD5AEB8" w14:textId="7D68B99A" w:rsidR="00771AA7" w:rsidRDefault="00771AA7">
          <w:pPr>
            <w:pStyle w:val="TOC1"/>
            <w:tabs>
              <w:tab w:val="right" w:leader="dot" w:pos="9620"/>
            </w:tabs>
            <w:rPr>
              <w:rFonts w:asciiTheme="minorHAnsi" w:eastAsiaTheme="minorEastAsia" w:hAnsiTheme="minorHAnsi" w:cstheme="minorBidi"/>
              <w:noProof/>
              <w:kern w:val="2"/>
              <w:lang w:val="en-US"/>
              <w14:ligatures w14:val="standardContextual"/>
            </w:rPr>
          </w:pPr>
          <w:hyperlink w:anchor="_Toc142334806" w:history="1">
            <w:r w:rsidRPr="00052B30">
              <w:rPr>
                <w:rStyle w:val="Hyperlink"/>
                <w:rFonts w:cstheme="minorHAnsi"/>
                <w:noProof/>
              </w:rPr>
              <w:t>D. Condiții legate de domeniile de excludere din Regulamentul UE nr. 1407/2013, cu modificările și completările ulterioare (Regulamentul de minimis).</w:t>
            </w:r>
            <w:r>
              <w:rPr>
                <w:noProof/>
                <w:webHidden/>
              </w:rPr>
              <w:tab/>
            </w:r>
            <w:r>
              <w:rPr>
                <w:noProof/>
                <w:webHidden/>
              </w:rPr>
              <w:fldChar w:fldCharType="begin"/>
            </w:r>
            <w:r>
              <w:rPr>
                <w:noProof/>
                <w:webHidden/>
              </w:rPr>
              <w:instrText xml:space="preserve"> PAGEREF _Toc142334806 \h </w:instrText>
            </w:r>
            <w:r>
              <w:rPr>
                <w:noProof/>
                <w:webHidden/>
              </w:rPr>
            </w:r>
            <w:r>
              <w:rPr>
                <w:noProof/>
                <w:webHidden/>
              </w:rPr>
              <w:fldChar w:fldCharType="separate"/>
            </w:r>
            <w:r>
              <w:rPr>
                <w:noProof/>
                <w:webHidden/>
              </w:rPr>
              <w:t>5</w:t>
            </w:r>
            <w:r>
              <w:rPr>
                <w:noProof/>
                <w:webHidden/>
              </w:rPr>
              <w:fldChar w:fldCharType="end"/>
            </w:r>
          </w:hyperlink>
        </w:p>
        <w:p w14:paraId="199CB99D" w14:textId="3DC1C912" w:rsidR="00771AA7" w:rsidRDefault="00771AA7">
          <w:pPr>
            <w:pStyle w:val="TOC1"/>
            <w:tabs>
              <w:tab w:val="right" w:leader="dot" w:pos="9620"/>
            </w:tabs>
            <w:rPr>
              <w:rFonts w:asciiTheme="minorHAnsi" w:eastAsiaTheme="minorEastAsia" w:hAnsiTheme="minorHAnsi" w:cstheme="minorBidi"/>
              <w:noProof/>
              <w:kern w:val="2"/>
              <w:lang w:val="en-US"/>
              <w14:ligatures w14:val="standardContextual"/>
            </w:rPr>
          </w:pPr>
          <w:hyperlink w:anchor="_Toc142334807" w:history="1">
            <w:r w:rsidRPr="00052B30">
              <w:rPr>
                <w:rStyle w:val="Hyperlink"/>
                <w:rFonts w:cstheme="minorHAnsi"/>
                <w:noProof/>
              </w:rPr>
              <w:t>E.  Condiții legate de aplicarea DNSH în conformitate cu art. 17 din Regulamentul (UE) 852/2020, cu acte delegate subsecvente regulamentului și respectiv cu criteriile prevăzute în Comunicarea Comisiei - Orientări tehnice privind aplicarea principiului de „a nu aduce prejudicii semnificative” în temeiul Regulamentului privind Mecanismul de redresare și reziliență (2021/C58/01).</w:t>
            </w:r>
            <w:r>
              <w:rPr>
                <w:noProof/>
                <w:webHidden/>
              </w:rPr>
              <w:tab/>
            </w:r>
            <w:r>
              <w:rPr>
                <w:noProof/>
                <w:webHidden/>
              </w:rPr>
              <w:fldChar w:fldCharType="begin"/>
            </w:r>
            <w:r>
              <w:rPr>
                <w:noProof/>
                <w:webHidden/>
              </w:rPr>
              <w:instrText xml:space="preserve"> PAGEREF _Toc142334807 \h </w:instrText>
            </w:r>
            <w:r>
              <w:rPr>
                <w:noProof/>
                <w:webHidden/>
              </w:rPr>
            </w:r>
            <w:r>
              <w:rPr>
                <w:noProof/>
                <w:webHidden/>
              </w:rPr>
              <w:fldChar w:fldCharType="separate"/>
            </w:r>
            <w:r>
              <w:rPr>
                <w:noProof/>
                <w:webHidden/>
              </w:rPr>
              <w:t>5</w:t>
            </w:r>
            <w:r>
              <w:rPr>
                <w:noProof/>
                <w:webHidden/>
              </w:rPr>
              <w:fldChar w:fldCharType="end"/>
            </w:r>
          </w:hyperlink>
        </w:p>
        <w:p w14:paraId="2C897DAD" w14:textId="5A82277F" w:rsidR="00771AA7" w:rsidRDefault="00771AA7">
          <w:pPr>
            <w:pStyle w:val="TOC1"/>
            <w:tabs>
              <w:tab w:val="right" w:leader="dot" w:pos="9620"/>
            </w:tabs>
            <w:rPr>
              <w:rFonts w:asciiTheme="minorHAnsi" w:eastAsiaTheme="minorEastAsia" w:hAnsiTheme="minorHAnsi" w:cstheme="minorBidi"/>
              <w:noProof/>
              <w:kern w:val="2"/>
              <w:lang w:val="en-US"/>
              <w14:ligatures w14:val="standardContextual"/>
            </w:rPr>
          </w:pPr>
          <w:hyperlink w:anchor="_Toc142334808" w:history="1">
            <w:r w:rsidRPr="00052B30">
              <w:rPr>
                <w:rStyle w:val="Hyperlink"/>
                <w:rFonts w:cstheme="minorHAnsi"/>
                <w:noProof/>
              </w:rPr>
              <w:t>F. Domenii excluse de PTJ 2021-2027</w:t>
            </w:r>
            <w:r>
              <w:rPr>
                <w:noProof/>
                <w:webHidden/>
              </w:rPr>
              <w:tab/>
            </w:r>
            <w:r>
              <w:rPr>
                <w:noProof/>
                <w:webHidden/>
              </w:rPr>
              <w:fldChar w:fldCharType="begin"/>
            </w:r>
            <w:r>
              <w:rPr>
                <w:noProof/>
                <w:webHidden/>
              </w:rPr>
              <w:instrText xml:space="preserve"> PAGEREF _Toc142334808 \h </w:instrText>
            </w:r>
            <w:r>
              <w:rPr>
                <w:noProof/>
                <w:webHidden/>
              </w:rPr>
            </w:r>
            <w:r>
              <w:rPr>
                <w:noProof/>
                <w:webHidden/>
              </w:rPr>
              <w:fldChar w:fldCharType="separate"/>
            </w:r>
            <w:r>
              <w:rPr>
                <w:noProof/>
                <w:webHidden/>
              </w:rPr>
              <w:t>8</w:t>
            </w:r>
            <w:r>
              <w:rPr>
                <w:noProof/>
                <w:webHidden/>
              </w:rPr>
              <w:fldChar w:fldCharType="end"/>
            </w:r>
          </w:hyperlink>
        </w:p>
        <w:p w14:paraId="31A70DD2" w14:textId="0B78FC7A" w:rsidR="00771AA7" w:rsidRDefault="00771AA7">
          <w:pPr>
            <w:pStyle w:val="TOC1"/>
            <w:tabs>
              <w:tab w:val="right" w:leader="dot" w:pos="9620"/>
            </w:tabs>
            <w:rPr>
              <w:rFonts w:asciiTheme="minorHAnsi" w:eastAsiaTheme="minorEastAsia" w:hAnsiTheme="minorHAnsi" w:cstheme="minorBidi"/>
              <w:noProof/>
              <w:kern w:val="2"/>
              <w:lang w:val="en-US"/>
              <w14:ligatures w14:val="standardContextual"/>
            </w:rPr>
          </w:pPr>
          <w:hyperlink w:anchor="_Toc142334809" w:history="1">
            <w:r w:rsidRPr="00052B30">
              <w:rPr>
                <w:rStyle w:val="Hyperlink"/>
                <w:rFonts w:cstheme="minorHAnsi"/>
                <w:noProof/>
              </w:rPr>
              <w:t>G. Domenii excluse de prevederile art 346 din Tratatul de Funcționare a UE (TFUE)</w:t>
            </w:r>
            <w:r>
              <w:rPr>
                <w:noProof/>
                <w:webHidden/>
              </w:rPr>
              <w:tab/>
            </w:r>
            <w:r>
              <w:rPr>
                <w:noProof/>
                <w:webHidden/>
              </w:rPr>
              <w:fldChar w:fldCharType="begin"/>
            </w:r>
            <w:r>
              <w:rPr>
                <w:noProof/>
                <w:webHidden/>
              </w:rPr>
              <w:instrText xml:space="preserve"> PAGEREF _Toc142334809 \h </w:instrText>
            </w:r>
            <w:r>
              <w:rPr>
                <w:noProof/>
                <w:webHidden/>
              </w:rPr>
            </w:r>
            <w:r>
              <w:rPr>
                <w:noProof/>
                <w:webHidden/>
              </w:rPr>
              <w:fldChar w:fldCharType="separate"/>
            </w:r>
            <w:r>
              <w:rPr>
                <w:noProof/>
                <w:webHidden/>
              </w:rPr>
              <w:t>8</w:t>
            </w:r>
            <w:r>
              <w:rPr>
                <w:noProof/>
                <w:webHidden/>
              </w:rPr>
              <w:fldChar w:fldCharType="end"/>
            </w:r>
          </w:hyperlink>
        </w:p>
        <w:p w14:paraId="6B4FD5DF" w14:textId="70C9FF10" w:rsidR="00FF4273" w:rsidRPr="008D1192" w:rsidRDefault="00FF4273">
          <w:pPr>
            <w:rPr>
              <w:rFonts w:asciiTheme="minorHAnsi" w:hAnsiTheme="minorHAnsi" w:cstheme="minorHAnsi"/>
            </w:rPr>
          </w:pPr>
          <w:r w:rsidRPr="008D1192">
            <w:rPr>
              <w:rFonts w:asciiTheme="minorHAnsi" w:hAnsiTheme="minorHAnsi" w:cstheme="minorHAnsi"/>
              <w:b/>
              <w:bCs/>
              <w:noProof/>
            </w:rPr>
            <w:fldChar w:fldCharType="end"/>
          </w:r>
        </w:p>
      </w:sdtContent>
    </w:sdt>
    <w:p w14:paraId="7808A304" w14:textId="77777777" w:rsidR="00FF4273" w:rsidRPr="008D1192" w:rsidRDefault="00FF4273" w:rsidP="00A948BF">
      <w:pPr>
        <w:spacing w:before="0" w:after="0"/>
        <w:rPr>
          <w:rFonts w:asciiTheme="minorHAnsi" w:hAnsiTheme="minorHAnsi" w:cstheme="minorHAnsi"/>
          <w:b/>
          <w:bCs/>
          <w:color w:val="0070C0"/>
          <w:highlight w:val="white"/>
        </w:rPr>
      </w:pPr>
    </w:p>
    <w:p w14:paraId="743D2B15" w14:textId="77777777" w:rsidR="00A948BF" w:rsidRPr="008D1192" w:rsidRDefault="00A948BF" w:rsidP="00A948BF">
      <w:pPr>
        <w:spacing w:before="0" w:after="0"/>
        <w:rPr>
          <w:rFonts w:asciiTheme="minorHAnsi" w:hAnsiTheme="minorHAnsi" w:cstheme="minorHAnsi"/>
        </w:rPr>
      </w:pPr>
    </w:p>
    <w:p w14:paraId="479A3985" w14:textId="3BF77BC4" w:rsidR="00A948BF" w:rsidRPr="008D1192" w:rsidRDefault="00A948BF" w:rsidP="00FF4273">
      <w:pPr>
        <w:pStyle w:val="Heading1"/>
        <w:numPr>
          <w:ilvl w:val="0"/>
          <w:numId w:val="0"/>
        </w:numPr>
        <w:ind w:left="720"/>
        <w:rPr>
          <w:rFonts w:asciiTheme="minorHAnsi" w:hAnsiTheme="minorHAnsi" w:cstheme="minorHAnsi"/>
          <w:sz w:val="22"/>
          <w:szCs w:val="22"/>
        </w:rPr>
      </w:pPr>
      <w:bookmarkStart w:id="0" w:name="_Toc142334803"/>
      <w:r w:rsidRPr="008D1192">
        <w:rPr>
          <w:rFonts w:asciiTheme="minorHAnsi" w:hAnsiTheme="minorHAnsi" w:cstheme="minorHAnsi"/>
          <w:sz w:val="22"/>
          <w:szCs w:val="22"/>
        </w:rPr>
        <w:t xml:space="preserve">A. </w:t>
      </w:r>
      <w:r w:rsidR="00E235F5" w:rsidRPr="008D1192">
        <w:rPr>
          <w:rFonts w:asciiTheme="minorHAnsi" w:hAnsiTheme="minorHAnsi" w:cstheme="minorHAnsi"/>
          <w:sz w:val="22"/>
          <w:szCs w:val="22"/>
        </w:rPr>
        <w:t>Condiții legate de</w:t>
      </w:r>
      <w:r w:rsidRPr="008D1192">
        <w:rPr>
          <w:rFonts w:asciiTheme="minorHAnsi" w:hAnsiTheme="minorHAnsi" w:cstheme="minorHAnsi"/>
          <w:sz w:val="22"/>
          <w:szCs w:val="22"/>
        </w:rPr>
        <w:t xml:space="preserve"> Regulamentul UE 1060/2021, cu modificările și completările ulterioare</w:t>
      </w:r>
      <w:r w:rsidR="00FF4273" w:rsidRPr="008D1192">
        <w:rPr>
          <w:rFonts w:asciiTheme="minorHAnsi" w:hAnsiTheme="minorHAnsi" w:cstheme="minorHAnsi"/>
          <w:sz w:val="22"/>
          <w:szCs w:val="22"/>
        </w:rPr>
        <w:t xml:space="preserve"> (Regulament Comun</w:t>
      </w:r>
      <w:r w:rsidRPr="008D1192">
        <w:rPr>
          <w:rFonts w:asciiTheme="minorHAnsi" w:hAnsiTheme="minorHAnsi" w:cstheme="minorHAnsi"/>
          <w:sz w:val="22"/>
          <w:szCs w:val="22"/>
        </w:rPr>
        <w:t>;</w:t>
      </w:r>
      <w:bookmarkEnd w:id="0"/>
    </w:p>
    <w:p w14:paraId="200B3FA6" w14:textId="77777777" w:rsidR="00A948BF" w:rsidRPr="008D1192" w:rsidRDefault="00A948BF" w:rsidP="00A948BF">
      <w:pPr>
        <w:pStyle w:val="ListParagraph"/>
        <w:spacing w:before="0" w:after="0"/>
        <w:ind w:left="1800"/>
        <w:rPr>
          <w:rFonts w:asciiTheme="minorHAnsi" w:hAnsiTheme="minorHAnsi" w:cstheme="minorHAnsi"/>
        </w:rPr>
      </w:pPr>
    </w:p>
    <w:p w14:paraId="4F9C33EE" w14:textId="5963C9EA" w:rsidR="00E235F5" w:rsidRPr="008D1192" w:rsidRDefault="00E235F5" w:rsidP="00E235F5">
      <w:pPr>
        <w:pStyle w:val="ListParagraph"/>
        <w:numPr>
          <w:ilvl w:val="0"/>
          <w:numId w:val="6"/>
        </w:numPr>
        <w:spacing w:before="0" w:after="0"/>
        <w:rPr>
          <w:rFonts w:asciiTheme="minorHAnsi" w:hAnsiTheme="minorHAnsi" w:cstheme="minorHAnsi"/>
        </w:rPr>
      </w:pPr>
      <w:r w:rsidRPr="008D1192">
        <w:rPr>
          <w:rFonts w:asciiTheme="minorHAnsi" w:hAnsiTheme="minorHAnsi" w:cstheme="minorHAnsi"/>
        </w:rPr>
        <w:t>Operațiunile sunt compatibile cu PTJ 2021-2027, inclusiv în ceea ce privește coerența lor cu strategiile relevante care stau la baza programului, precum și că contribuie efectiv la îndeplinirea obiectivului specific unic de a permite regiunilor și cetățenilor să facă față efectelor sociale, asupra ocupării forței de muncă, economice și de mediu ale tranziției către țintele energetice și climatice ale Uniunii pentru 2030 și o economie neutră din punct de vedere climatic a Uniunii până în 2050, în temeiul Acordului de la Paris.</w:t>
      </w:r>
    </w:p>
    <w:p w14:paraId="5BBFA9C5" w14:textId="77777777" w:rsidR="0048322C" w:rsidRPr="008D1192" w:rsidRDefault="0048322C" w:rsidP="0048322C">
      <w:pPr>
        <w:pStyle w:val="ListParagraph"/>
        <w:spacing w:before="0" w:after="0"/>
        <w:rPr>
          <w:rFonts w:asciiTheme="minorHAnsi" w:hAnsiTheme="minorHAnsi" w:cstheme="minorHAnsi"/>
        </w:rPr>
      </w:pPr>
    </w:p>
    <w:p w14:paraId="080E6B07" w14:textId="1A3F5EFA" w:rsidR="0048322C" w:rsidRPr="008D1192" w:rsidRDefault="00E235F5" w:rsidP="00E235F5">
      <w:pPr>
        <w:pStyle w:val="ListParagraph"/>
        <w:numPr>
          <w:ilvl w:val="0"/>
          <w:numId w:val="6"/>
        </w:numPr>
        <w:spacing w:before="0" w:after="0"/>
        <w:rPr>
          <w:rFonts w:asciiTheme="minorHAnsi" w:hAnsiTheme="minorHAnsi" w:cstheme="minorHAnsi"/>
        </w:rPr>
      </w:pPr>
      <w:r w:rsidRPr="008D1192">
        <w:rPr>
          <w:rFonts w:asciiTheme="minorHAnsi" w:hAnsiTheme="minorHAnsi" w:cstheme="minorHAnsi"/>
        </w:rPr>
        <w:t xml:space="preserve">Operațiunile nu includ activități care au făcut parte dintr-o operațiune care este relocată sau care ar constitui un transfer al unei activități productive </w:t>
      </w:r>
      <w:r w:rsidR="0048322C" w:rsidRPr="008D1192">
        <w:rPr>
          <w:rFonts w:asciiTheme="minorHAnsi" w:hAnsiTheme="minorHAnsi" w:cstheme="minorHAnsi"/>
        </w:rPr>
        <w:t>legată de</w:t>
      </w:r>
      <w:r w:rsidRPr="008D1192">
        <w:rPr>
          <w:rFonts w:asciiTheme="minorHAnsi" w:hAnsiTheme="minorHAnsi" w:cstheme="minorHAnsi"/>
        </w:rPr>
        <w:t xml:space="preserve"> </w:t>
      </w:r>
      <w:r w:rsidR="0048322C" w:rsidRPr="008D1192">
        <w:rPr>
          <w:rFonts w:asciiTheme="minorHAnsi" w:hAnsiTheme="minorHAnsi" w:cstheme="minorHAnsi"/>
        </w:rPr>
        <w:t>încetarea unei activități productive sau transferul acesteia în afara regiunii de nivel NUTS 2 în care a primit sprijin.</w:t>
      </w:r>
    </w:p>
    <w:p w14:paraId="77D36153" w14:textId="77777777" w:rsidR="0048322C" w:rsidRPr="008D1192" w:rsidRDefault="0048322C" w:rsidP="0048322C">
      <w:pPr>
        <w:pStyle w:val="ListParagraph"/>
        <w:spacing w:before="0" w:after="0"/>
        <w:rPr>
          <w:rFonts w:asciiTheme="minorHAnsi" w:hAnsiTheme="minorHAnsi" w:cstheme="minorHAnsi"/>
        </w:rPr>
      </w:pPr>
    </w:p>
    <w:p w14:paraId="3D444587" w14:textId="29934829" w:rsidR="0048322C" w:rsidRPr="008D1192" w:rsidRDefault="0048322C" w:rsidP="0048322C">
      <w:pPr>
        <w:pStyle w:val="ListParagraph"/>
        <w:spacing w:before="0" w:after="0"/>
        <w:rPr>
          <w:rFonts w:asciiTheme="minorHAnsi" w:hAnsiTheme="minorHAnsi" w:cstheme="minorHAnsi"/>
        </w:rPr>
      </w:pPr>
      <w:r w:rsidRPr="008D1192">
        <w:rPr>
          <w:rFonts w:asciiTheme="minorHAnsi" w:hAnsiTheme="minorHAnsi" w:cstheme="minorHAnsi"/>
        </w:rPr>
        <w:lastRenderedPageBreak/>
        <w:t xml:space="preserve">Relocare înseamnă transferul unei </w:t>
      </w:r>
      <w:proofErr w:type="spellStart"/>
      <w:r w:rsidRPr="008D1192">
        <w:rPr>
          <w:rFonts w:asciiTheme="minorHAnsi" w:hAnsiTheme="minorHAnsi" w:cstheme="minorHAnsi"/>
        </w:rPr>
        <w:t>activităţi</w:t>
      </w:r>
      <w:proofErr w:type="spellEnd"/>
      <w:r w:rsidRPr="008D1192">
        <w:rPr>
          <w:rFonts w:asciiTheme="minorHAnsi" w:hAnsiTheme="minorHAnsi" w:cstheme="minorHAnsi"/>
        </w:rPr>
        <w:t xml:space="preserve"> identice sau similare sau a unei </w:t>
      </w:r>
      <w:proofErr w:type="spellStart"/>
      <w:r w:rsidRPr="008D1192">
        <w:rPr>
          <w:rFonts w:asciiTheme="minorHAnsi" w:hAnsiTheme="minorHAnsi" w:cstheme="minorHAnsi"/>
        </w:rPr>
        <w:t>părţi</w:t>
      </w:r>
      <w:proofErr w:type="spellEnd"/>
      <w:r w:rsidRPr="008D1192">
        <w:rPr>
          <w:rFonts w:asciiTheme="minorHAnsi" w:hAnsiTheme="minorHAnsi" w:cstheme="minorHAnsi"/>
        </w:rPr>
        <w:t xml:space="preserve"> a acesteia de la o unitate a uneia dintre </w:t>
      </w:r>
      <w:proofErr w:type="spellStart"/>
      <w:r w:rsidRPr="008D1192">
        <w:rPr>
          <w:rFonts w:asciiTheme="minorHAnsi" w:hAnsiTheme="minorHAnsi" w:cstheme="minorHAnsi"/>
        </w:rPr>
        <w:t>părţile</w:t>
      </w:r>
      <w:proofErr w:type="spellEnd"/>
      <w:r w:rsidRPr="008D1192">
        <w:rPr>
          <w:rFonts w:asciiTheme="minorHAnsi" w:hAnsiTheme="minorHAnsi" w:cstheme="minorHAnsi"/>
        </w:rPr>
        <w:t xml:space="preserve"> contractante la Acordul privind SEE (unitatea </w:t>
      </w:r>
      <w:proofErr w:type="spellStart"/>
      <w:r w:rsidRPr="008D1192">
        <w:rPr>
          <w:rFonts w:asciiTheme="minorHAnsi" w:hAnsiTheme="minorHAnsi" w:cstheme="minorHAnsi"/>
        </w:rPr>
        <w:t>iniţială</w:t>
      </w:r>
      <w:proofErr w:type="spellEnd"/>
      <w:r w:rsidRPr="008D1192">
        <w:rPr>
          <w:rFonts w:asciiTheme="minorHAnsi" w:hAnsiTheme="minorHAnsi" w:cstheme="minorHAnsi"/>
        </w:rPr>
        <w:t xml:space="preserve">) către unitatea unei alte </w:t>
      </w:r>
      <w:proofErr w:type="spellStart"/>
      <w:r w:rsidRPr="008D1192">
        <w:rPr>
          <w:rFonts w:asciiTheme="minorHAnsi" w:hAnsiTheme="minorHAnsi" w:cstheme="minorHAnsi"/>
        </w:rPr>
        <w:t>părţi</w:t>
      </w:r>
      <w:proofErr w:type="spellEnd"/>
      <w:r w:rsidRPr="008D1192">
        <w:rPr>
          <w:rFonts w:asciiTheme="minorHAnsi" w:hAnsiTheme="minorHAnsi" w:cstheme="minorHAnsi"/>
        </w:rPr>
        <w:t xml:space="preserve"> contractante la Acordul privind SEE unde are loc </w:t>
      </w:r>
      <w:proofErr w:type="spellStart"/>
      <w:r w:rsidRPr="008D1192">
        <w:rPr>
          <w:rFonts w:asciiTheme="minorHAnsi" w:hAnsiTheme="minorHAnsi" w:cstheme="minorHAnsi"/>
        </w:rPr>
        <w:t>investiţia</w:t>
      </w:r>
      <w:proofErr w:type="spellEnd"/>
      <w:r w:rsidRPr="008D1192">
        <w:rPr>
          <w:rFonts w:asciiTheme="minorHAnsi" w:hAnsiTheme="minorHAnsi" w:cstheme="minorHAnsi"/>
        </w:rPr>
        <w:t xml:space="preserve"> care beneficiază de ajutor (unitatea care beneficiază de ajutor). Există un transfer în cazul în care produsul sau serviciul de la unitatea </w:t>
      </w:r>
      <w:proofErr w:type="spellStart"/>
      <w:r w:rsidRPr="008D1192">
        <w:rPr>
          <w:rFonts w:asciiTheme="minorHAnsi" w:hAnsiTheme="minorHAnsi" w:cstheme="minorHAnsi"/>
        </w:rPr>
        <w:t>iniţială</w:t>
      </w:r>
      <w:proofErr w:type="spellEnd"/>
      <w:r w:rsidRPr="008D1192">
        <w:rPr>
          <w:rFonts w:asciiTheme="minorHAnsi" w:hAnsiTheme="minorHAnsi" w:cstheme="minorHAnsi"/>
        </w:rPr>
        <w:t xml:space="preserve"> și de la unitatea care beneficiază de ajutor au cel </w:t>
      </w:r>
      <w:proofErr w:type="spellStart"/>
      <w:r w:rsidRPr="008D1192">
        <w:rPr>
          <w:rFonts w:asciiTheme="minorHAnsi" w:hAnsiTheme="minorHAnsi" w:cstheme="minorHAnsi"/>
        </w:rPr>
        <w:t>puţin</w:t>
      </w:r>
      <w:proofErr w:type="spellEnd"/>
      <w:r w:rsidRPr="008D1192">
        <w:rPr>
          <w:rFonts w:asciiTheme="minorHAnsi" w:hAnsiTheme="minorHAnsi" w:cstheme="minorHAnsi"/>
        </w:rPr>
        <w:t xml:space="preserve"> </w:t>
      </w:r>
      <w:proofErr w:type="spellStart"/>
      <w:r w:rsidRPr="008D1192">
        <w:rPr>
          <w:rFonts w:asciiTheme="minorHAnsi" w:hAnsiTheme="minorHAnsi" w:cstheme="minorHAnsi"/>
        </w:rPr>
        <w:t>parţial</w:t>
      </w:r>
      <w:proofErr w:type="spellEnd"/>
      <w:r w:rsidRPr="008D1192">
        <w:rPr>
          <w:rFonts w:asciiTheme="minorHAnsi" w:hAnsiTheme="minorHAnsi" w:cstheme="minorHAnsi"/>
        </w:rPr>
        <w:t xml:space="preserve"> aceleași scopuri, îndeplinesc </w:t>
      </w:r>
      <w:proofErr w:type="spellStart"/>
      <w:r w:rsidRPr="008D1192">
        <w:rPr>
          <w:rFonts w:asciiTheme="minorHAnsi" w:hAnsiTheme="minorHAnsi" w:cstheme="minorHAnsi"/>
        </w:rPr>
        <w:t>cerinţele</w:t>
      </w:r>
      <w:proofErr w:type="spellEnd"/>
      <w:r w:rsidRPr="008D1192">
        <w:rPr>
          <w:rFonts w:asciiTheme="minorHAnsi" w:hAnsiTheme="minorHAnsi" w:cstheme="minorHAnsi"/>
        </w:rPr>
        <w:t xml:space="preserve"> sau </w:t>
      </w:r>
      <w:proofErr w:type="spellStart"/>
      <w:r w:rsidRPr="008D1192">
        <w:rPr>
          <w:rFonts w:asciiTheme="minorHAnsi" w:hAnsiTheme="minorHAnsi" w:cstheme="minorHAnsi"/>
        </w:rPr>
        <w:t>necesităţile</w:t>
      </w:r>
      <w:proofErr w:type="spellEnd"/>
      <w:r w:rsidRPr="008D1192">
        <w:rPr>
          <w:rFonts w:asciiTheme="minorHAnsi" w:hAnsiTheme="minorHAnsi" w:cstheme="minorHAnsi"/>
        </w:rPr>
        <w:t xml:space="preserve"> aceluiași tip de </w:t>
      </w:r>
      <w:proofErr w:type="spellStart"/>
      <w:r w:rsidRPr="008D1192">
        <w:rPr>
          <w:rFonts w:asciiTheme="minorHAnsi" w:hAnsiTheme="minorHAnsi" w:cstheme="minorHAnsi"/>
        </w:rPr>
        <w:t>clienţi</w:t>
      </w:r>
      <w:proofErr w:type="spellEnd"/>
      <w:r w:rsidRPr="008D1192">
        <w:rPr>
          <w:rFonts w:asciiTheme="minorHAnsi" w:hAnsiTheme="minorHAnsi" w:cstheme="minorHAnsi"/>
        </w:rPr>
        <w:t xml:space="preserve"> și se pierd locuri de muncă în </w:t>
      </w:r>
      <w:proofErr w:type="spellStart"/>
      <w:r w:rsidRPr="008D1192">
        <w:rPr>
          <w:rFonts w:asciiTheme="minorHAnsi" w:hAnsiTheme="minorHAnsi" w:cstheme="minorHAnsi"/>
        </w:rPr>
        <w:t>activităţi</w:t>
      </w:r>
      <w:proofErr w:type="spellEnd"/>
      <w:r w:rsidRPr="008D1192">
        <w:rPr>
          <w:rFonts w:asciiTheme="minorHAnsi" w:hAnsiTheme="minorHAnsi" w:cstheme="minorHAnsi"/>
        </w:rPr>
        <w:t xml:space="preserve"> identice sau similare la una din </w:t>
      </w:r>
      <w:proofErr w:type="spellStart"/>
      <w:r w:rsidRPr="008D1192">
        <w:rPr>
          <w:rFonts w:asciiTheme="minorHAnsi" w:hAnsiTheme="minorHAnsi" w:cstheme="minorHAnsi"/>
        </w:rPr>
        <w:t>unităţile</w:t>
      </w:r>
      <w:proofErr w:type="spellEnd"/>
      <w:r w:rsidRPr="008D1192">
        <w:rPr>
          <w:rFonts w:asciiTheme="minorHAnsi" w:hAnsiTheme="minorHAnsi" w:cstheme="minorHAnsi"/>
        </w:rPr>
        <w:t xml:space="preserve"> </w:t>
      </w:r>
      <w:proofErr w:type="spellStart"/>
      <w:r w:rsidRPr="008D1192">
        <w:rPr>
          <w:rFonts w:asciiTheme="minorHAnsi" w:hAnsiTheme="minorHAnsi" w:cstheme="minorHAnsi"/>
        </w:rPr>
        <w:t>iniţiale</w:t>
      </w:r>
      <w:proofErr w:type="spellEnd"/>
      <w:r w:rsidRPr="008D1192">
        <w:rPr>
          <w:rFonts w:asciiTheme="minorHAnsi" w:hAnsiTheme="minorHAnsi" w:cstheme="minorHAnsi"/>
        </w:rPr>
        <w:t xml:space="preserve"> ale beneficiarului din SEE;</w:t>
      </w:r>
    </w:p>
    <w:p w14:paraId="4439D2E1" w14:textId="77777777" w:rsidR="0048322C" w:rsidRPr="008D1192" w:rsidRDefault="0048322C" w:rsidP="0048322C">
      <w:pPr>
        <w:pStyle w:val="ListParagraph"/>
        <w:spacing w:before="0" w:after="0"/>
        <w:rPr>
          <w:rFonts w:asciiTheme="minorHAnsi" w:hAnsiTheme="minorHAnsi" w:cstheme="minorHAnsi"/>
        </w:rPr>
      </w:pPr>
    </w:p>
    <w:p w14:paraId="0E7627D7" w14:textId="52233CB9" w:rsidR="00E235F5" w:rsidRPr="008D1192" w:rsidRDefault="0048322C" w:rsidP="00E235F5">
      <w:pPr>
        <w:pStyle w:val="ListParagraph"/>
        <w:numPr>
          <w:ilvl w:val="0"/>
          <w:numId w:val="6"/>
        </w:numPr>
        <w:spacing w:before="0" w:after="0"/>
        <w:rPr>
          <w:rFonts w:asciiTheme="minorHAnsi" w:hAnsiTheme="minorHAnsi" w:cstheme="minorHAnsi"/>
        </w:rPr>
      </w:pPr>
      <w:r w:rsidRPr="008D1192">
        <w:rPr>
          <w:rFonts w:asciiTheme="minorHAnsi" w:hAnsiTheme="minorHAnsi" w:cstheme="minorHAnsi"/>
        </w:rPr>
        <w:t>Operațiunile</w:t>
      </w:r>
      <w:r w:rsidR="00E235F5" w:rsidRPr="008D1192">
        <w:rPr>
          <w:rFonts w:asciiTheme="minorHAnsi" w:hAnsiTheme="minorHAnsi" w:cstheme="minorHAnsi"/>
        </w:rPr>
        <w:t xml:space="preserve"> nu fac în mod direct obiectul unui aviz motivat al Comisiei cu privire la o încălcare în temeiul articolului 258 din TFUE care pune în pericol legalitatea și regularitatea cheltuielilor sau desfășurarea operațiunilor;</w:t>
      </w:r>
    </w:p>
    <w:p w14:paraId="6D0D02B9" w14:textId="77777777" w:rsidR="0048322C" w:rsidRPr="008D1192" w:rsidRDefault="0048322C" w:rsidP="0048322C">
      <w:pPr>
        <w:pStyle w:val="ListParagraph"/>
        <w:spacing w:before="0" w:after="0"/>
        <w:rPr>
          <w:rFonts w:asciiTheme="minorHAnsi" w:hAnsiTheme="minorHAnsi" w:cstheme="minorHAnsi"/>
        </w:rPr>
      </w:pPr>
    </w:p>
    <w:p w14:paraId="4A62E293" w14:textId="3A98A5B4" w:rsidR="0048322C" w:rsidRPr="008D1192" w:rsidRDefault="0048322C" w:rsidP="00E235F5">
      <w:pPr>
        <w:pStyle w:val="ListParagraph"/>
        <w:numPr>
          <w:ilvl w:val="0"/>
          <w:numId w:val="6"/>
        </w:numPr>
        <w:spacing w:before="0" w:after="0"/>
        <w:rPr>
          <w:rFonts w:asciiTheme="minorHAnsi" w:hAnsiTheme="minorHAnsi" w:cstheme="minorHAnsi"/>
        </w:rPr>
      </w:pPr>
      <w:r w:rsidRPr="008D1192">
        <w:rPr>
          <w:rFonts w:asciiTheme="minorHAnsi" w:hAnsiTheme="minorHAnsi" w:cstheme="minorHAnsi"/>
        </w:rPr>
        <w:t>Operațiunile selectate care intră sub incidența Directivei 2011/92/UE fac obiectul unei evaluări a impactului asupra mediului sau al unei proceduri de verificare și că evaluarea soluțiilor alternative a fost luată în considerare în mod corespunzător, pe baza cerințelor directivei respective</w:t>
      </w:r>
    </w:p>
    <w:p w14:paraId="082D8C74" w14:textId="77777777" w:rsidR="00A948BF" w:rsidRPr="008D1192" w:rsidRDefault="00A948BF" w:rsidP="0048322C">
      <w:pPr>
        <w:pStyle w:val="ListParagraph"/>
        <w:spacing w:before="0" w:after="0"/>
        <w:ind w:left="1800"/>
        <w:rPr>
          <w:rFonts w:asciiTheme="minorHAnsi" w:hAnsiTheme="minorHAnsi" w:cstheme="minorHAnsi"/>
        </w:rPr>
      </w:pPr>
    </w:p>
    <w:p w14:paraId="6CEEB8A7" w14:textId="59B0A8C0" w:rsidR="0048322C" w:rsidRPr="008D1192" w:rsidRDefault="0048322C" w:rsidP="00FF4273">
      <w:pPr>
        <w:pStyle w:val="Heading1"/>
        <w:numPr>
          <w:ilvl w:val="0"/>
          <w:numId w:val="0"/>
        </w:numPr>
        <w:ind w:left="720"/>
        <w:rPr>
          <w:rFonts w:asciiTheme="minorHAnsi" w:hAnsiTheme="minorHAnsi" w:cstheme="minorHAnsi"/>
          <w:sz w:val="22"/>
          <w:szCs w:val="22"/>
        </w:rPr>
      </w:pPr>
      <w:bookmarkStart w:id="1" w:name="_Toc142334804"/>
      <w:r w:rsidRPr="008D1192">
        <w:rPr>
          <w:rFonts w:asciiTheme="minorHAnsi" w:hAnsiTheme="minorHAnsi" w:cstheme="minorHAnsi"/>
          <w:sz w:val="22"/>
          <w:szCs w:val="22"/>
        </w:rPr>
        <w:t>B. Condiții legate de Regulamentul UE 1056/2021, cu modificările și completările ulterioare;</w:t>
      </w:r>
      <w:bookmarkEnd w:id="1"/>
    </w:p>
    <w:p w14:paraId="4357C3BF" w14:textId="77777777" w:rsidR="0048322C" w:rsidRPr="008D1192" w:rsidRDefault="0048322C" w:rsidP="0048322C">
      <w:pPr>
        <w:pStyle w:val="ListParagraph"/>
        <w:spacing w:before="0" w:after="0"/>
        <w:ind w:left="1800"/>
        <w:rPr>
          <w:rFonts w:asciiTheme="minorHAnsi" w:hAnsiTheme="minorHAnsi" w:cstheme="minorHAnsi"/>
        </w:rPr>
      </w:pPr>
    </w:p>
    <w:p w14:paraId="65720C4F" w14:textId="77777777" w:rsidR="00EB19D6" w:rsidRPr="008D1192" w:rsidRDefault="00EB19D6" w:rsidP="00EB19D6">
      <w:pPr>
        <w:spacing w:before="0" w:after="0"/>
        <w:ind w:left="0"/>
        <w:rPr>
          <w:rFonts w:asciiTheme="minorHAnsi" w:hAnsiTheme="minorHAnsi" w:cstheme="minorHAnsi"/>
        </w:rPr>
      </w:pPr>
      <w:r w:rsidRPr="008D1192">
        <w:rPr>
          <w:rFonts w:asciiTheme="minorHAnsi" w:hAnsiTheme="minorHAnsi" w:cstheme="minorHAnsi"/>
        </w:rPr>
        <w:t xml:space="preserve">FTJ nu acordă sprijin pentru: </w:t>
      </w:r>
    </w:p>
    <w:p w14:paraId="6DC2D7B8" w14:textId="27F15C0C" w:rsidR="00EB19D6" w:rsidRPr="008D1192" w:rsidRDefault="00EB19D6" w:rsidP="00EB19D6">
      <w:pPr>
        <w:pStyle w:val="ListParagraph"/>
        <w:numPr>
          <w:ilvl w:val="0"/>
          <w:numId w:val="7"/>
        </w:numPr>
        <w:spacing w:before="0" w:after="0"/>
        <w:rPr>
          <w:rFonts w:asciiTheme="minorHAnsi" w:hAnsiTheme="minorHAnsi" w:cstheme="minorHAnsi"/>
        </w:rPr>
      </w:pPr>
      <w:r w:rsidRPr="008D1192">
        <w:rPr>
          <w:rFonts w:asciiTheme="minorHAnsi" w:hAnsiTheme="minorHAnsi" w:cstheme="minorHAnsi"/>
        </w:rPr>
        <w:t xml:space="preserve">dezafectarea sau construirea de centrale nucleare; </w:t>
      </w:r>
    </w:p>
    <w:p w14:paraId="6E6DB2DD" w14:textId="1755EB3E" w:rsidR="00EB19D6" w:rsidRPr="008D1192" w:rsidRDefault="00EB19D6" w:rsidP="00EB19D6">
      <w:pPr>
        <w:pStyle w:val="ListParagraph"/>
        <w:numPr>
          <w:ilvl w:val="0"/>
          <w:numId w:val="7"/>
        </w:numPr>
        <w:spacing w:before="0" w:after="0"/>
        <w:rPr>
          <w:rFonts w:asciiTheme="minorHAnsi" w:hAnsiTheme="minorHAnsi" w:cstheme="minorHAnsi"/>
        </w:rPr>
      </w:pPr>
      <w:r w:rsidRPr="008D1192">
        <w:rPr>
          <w:rFonts w:asciiTheme="minorHAnsi" w:hAnsiTheme="minorHAnsi" w:cstheme="minorHAnsi"/>
        </w:rPr>
        <w:t xml:space="preserve">fabricarea, prelucrarea și comercializarea tutunului și a produselor din tutun; </w:t>
      </w:r>
    </w:p>
    <w:p w14:paraId="51FED3CF" w14:textId="59F2506C" w:rsidR="00EB19D6" w:rsidRPr="008D1192" w:rsidRDefault="00EB19D6" w:rsidP="00EB19D6">
      <w:pPr>
        <w:pStyle w:val="ListParagraph"/>
        <w:numPr>
          <w:ilvl w:val="0"/>
          <w:numId w:val="7"/>
        </w:numPr>
        <w:spacing w:before="0" w:after="0"/>
        <w:rPr>
          <w:rFonts w:asciiTheme="minorHAnsi" w:hAnsiTheme="minorHAnsi" w:cstheme="minorHAnsi"/>
        </w:rPr>
      </w:pPr>
      <w:r w:rsidRPr="008D1192">
        <w:rPr>
          <w:rFonts w:asciiTheme="minorHAnsi" w:hAnsiTheme="minorHAnsi" w:cstheme="minorHAnsi"/>
        </w:rPr>
        <w:t>o întreprindere în dificultate, astfel cum este definită la articolul 2 punctul 18 din Regulamentul (UE) nr. 651/2014</w:t>
      </w:r>
      <w:r w:rsidRPr="008D1192">
        <w:rPr>
          <w:rStyle w:val="FootnoteReference"/>
          <w:rFonts w:asciiTheme="minorHAnsi" w:hAnsiTheme="minorHAnsi" w:cstheme="minorHAnsi"/>
        </w:rPr>
        <w:footnoteReference w:id="1"/>
      </w:r>
      <w:r w:rsidRPr="008D1192">
        <w:rPr>
          <w:rFonts w:asciiTheme="minorHAnsi" w:hAnsiTheme="minorHAnsi" w:cstheme="minorHAnsi"/>
        </w:rPr>
        <w:t xml:space="preserve">, cu </w:t>
      </w:r>
      <w:proofErr w:type="spellStart"/>
      <w:r w:rsidRPr="008D1192">
        <w:rPr>
          <w:rFonts w:asciiTheme="minorHAnsi" w:hAnsiTheme="minorHAnsi" w:cstheme="minorHAnsi"/>
        </w:rPr>
        <w:t>excepţia</w:t>
      </w:r>
      <w:proofErr w:type="spellEnd"/>
      <w:r w:rsidRPr="008D1192">
        <w:rPr>
          <w:rFonts w:asciiTheme="minorHAnsi" w:hAnsiTheme="minorHAnsi" w:cstheme="minorHAnsi"/>
        </w:rPr>
        <w:t xml:space="preserve"> cazului în care este autorizată în temeiul unor norme privind acordarea </w:t>
      </w:r>
      <w:r w:rsidRPr="008D1192">
        <w:rPr>
          <w:rFonts w:asciiTheme="minorHAnsi" w:hAnsiTheme="minorHAnsi" w:cstheme="minorHAnsi"/>
        </w:rPr>
        <w:lastRenderedPageBreak/>
        <w:t xml:space="preserve">temporară de ajutoare de stat instituite pentru a răspunde unor </w:t>
      </w:r>
      <w:proofErr w:type="spellStart"/>
      <w:r w:rsidRPr="008D1192">
        <w:rPr>
          <w:rFonts w:asciiTheme="minorHAnsi" w:hAnsiTheme="minorHAnsi" w:cstheme="minorHAnsi"/>
        </w:rPr>
        <w:t>circumstanţe</w:t>
      </w:r>
      <w:proofErr w:type="spellEnd"/>
      <w:r w:rsidRPr="008D1192">
        <w:rPr>
          <w:rFonts w:asciiTheme="minorHAnsi" w:hAnsiTheme="minorHAnsi" w:cstheme="minorHAnsi"/>
        </w:rPr>
        <w:t xml:space="preserve"> </w:t>
      </w:r>
      <w:proofErr w:type="spellStart"/>
      <w:r w:rsidRPr="008D1192">
        <w:rPr>
          <w:rFonts w:asciiTheme="minorHAnsi" w:hAnsiTheme="minorHAnsi" w:cstheme="minorHAnsi"/>
        </w:rPr>
        <w:t>excepţionale</w:t>
      </w:r>
      <w:proofErr w:type="spellEnd"/>
      <w:r w:rsidRPr="008D1192">
        <w:rPr>
          <w:rFonts w:asciiTheme="minorHAnsi" w:hAnsiTheme="minorHAnsi" w:cstheme="minorHAnsi"/>
        </w:rPr>
        <w:t xml:space="preserve"> sau în temeiul unor norme privind ajutorul de </w:t>
      </w:r>
      <w:proofErr w:type="spellStart"/>
      <w:r w:rsidRPr="008D1192">
        <w:rPr>
          <w:rFonts w:asciiTheme="minorHAnsi" w:hAnsiTheme="minorHAnsi" w:cstheme="minorHAnsi"/>
        </w:rPr>
        <w:t>minimis</w:t>
      </w:r>
      <w:proofErr w:type="spellEnd"/>
      <w:r w:rsidRPr="008D1192">
        <w:rPr>
          <w:rFonts w:asciiTheme="minorHAnsi" w:hAnsiTheme="minorHAnsi" w:cstheme="minorHAnsi"/>
        </w:rPr>
        <w:t xml:space="preserve"> pentru sprijinirea </w:t>
      </w:r>
      <w:proofErr w:type="spellStart"/>
      <w:r w:rsidRPr="008D1192">
        <w:rPr>
          <w:rFonts w:asciiTheme="minorHAnsi" w:hAnsiTheme="minorHAnsi" w:cstheme="minorHAnsi"/>
        </w:rPr>
        <w:t>investiţiilor</w:t>
      </w:r>
      <w:proofErr w:type="spellEnd"/>
      <w:r w:rsidRPr="008D1192">
        <w:rPr>
          <w:rFonts w:asciiTheme="minorHAnsi" w:hAnsiTheme="minorHAnsi" w:cstheme="minorHAnsi"/>
        </w:rPr>
        <w:t xml:space="preserve"> care reduc costurile energiei în contextul procesului de </w:t>
      </w:r>
      <w:proofErr w:type="spellStart"/>
      <w:r w:rsidRPr="008D1192">
        <w:rPr>
          <w:rFonts w:asciiTheme="minorHAnsi" w:hAnsiTheme="minorHAnsi" w:cstheme="minorHAnsi"/>
        </w:rPr>
        <w:t>tranziţie</w:t>
      </w:r>
      <w:proofErr w:type="spellEnd"/>
      <w:r w:rsidRPr="008D1192">
        <w:rPr>
          <w:rFonts w:asciiTheme="minorHAnsi" w:hAnsiTheme="minorHAnsi" w:cstheme="minorHAnsi"/>
        </w:rPr>
        <w:t xml:space="preserve"> energetică; </w:t>
      </w:r>
    </w:p>
    <w:p w14:paraId="02E7C7A6" w14:textId="77777777" w:rsidR="00EB19D6" w:rsidRPr="008D1192" w:rsidRDefault="00EB19D6" w:rsidP="00EB19D6">
      <w:pPr>
        <w:spacing w:before="0" w:after="0"/>
        <w:ind w:left="0"/>
        <w:rPr>
          <w:rFonts w:asciiTheme="minorHAnsi" w:hAnsiTheme="minorHAnsi" w:cstheme="minorHAnsi"/>
        </w:rPr>
      </w:pPr>
    </w:p>
    <w:p w14:paraId="107E33B6" w14:textId="46CEA484" w:rsidR="00EB19D6" w:rsidRPr="008D1192" w:rsidRDefault="00EB19D6" w:rsidP="00EB19D6">
      <w:pPr>
        <w:pStyle w:val="ListParagraph"/>
        <w:numPr>
          <w:ilvl w:val="0"/>
          <w:numId w:val="7"/>
        </w:numPr>
        <w:spacing w:before="0" w:after="0"/>
        <w:rPr>
          <w:rFonts w:asciiTheme="minorHAnsi" w:hAnsiTheme="minorHAnsi" w:cstheme="minorHAnsi"/>
        </w:rPr>
      </w:pPr>
      <w:proofErr w:type="spellStart"/>
      <w:r w:rsidRPr="008D1192">
        <w:rPr>
          <w:rFonts w:asciiTheme="minorHAnsi" w:hAnsiTheme="minorHAnsi" w:cstheme="minorHAnsi"/>
        </w:rPr>
        <w:t>investiţiile</w:t>
      </w:r>
      <w:proofErr w:type="spellEnd"/>
      <w:r w:rsidRPr="008D1192">
        <w:rPr>
          <w:rFonts w:asciiTheme="minorHAnsi" w:hAnsiTheme="minorHAnsi" w:cstheme="minorHAnsi"/>
        </w:rPr>
        <w:t xml:space="preserve"> legate de </w:t>
      </w:r>
      <w:proofErr w:type="spellStart"/>
      <w:r w:rsidRPr="008D1192">
        <w:rPr>
          <w:rFonts w:asciiTheme="minorHAnsi" w:hAnsiTheme="minorHAnsi" w:cstheme="minorHAnsi"/>
        </w:rPr>
        <w:t>producţia</w:t>
      </w:r>
      <w:proofErr w:type="spellEnd"/>
      <w:r w:rsidRPr="008D1192">
        <w:rPr>
          <w:rFonts w:asciiTheme="minorHAnsi" w:hAnsiTheme="minorHAnsi" w:cstheme="minorHAnsi"/>
        </w:rPr>
        <w:t xml:space="preserve">, prelucrarea, transportul, </w:t>
      </w:r>
      <w:proofErr w:type="spellStart"/>
      <w:r w:rsidRPr="008D1192">
        <w:rPr>
          <w:rFonts w:asciiTheme="minorHAnsi" w:hAnsiTheme="minorHAnsi" w:cstheme="minorHAnsi"/>
        </w:rPr>
        <w:t>distribuţia</w:t>
      </w:r>
      <w:proofErr w:type="spellEnd"/>
      <w:r w:rsidRPr="008D1192">
        <w:rPr>
          <w:rFonts w:asciiTheme="minorHAnsi" w:hAnsiTheme="minorHAnsi" w:cstheme="minorHAnsi"/>
        </w:rPr>
        <w:t>, depozitarea sau arderea combustibililor fosili.</w:t>
      </w:r>
    </w:p>
    <w:p w14:paraId="510BD54F" w14:textId="77777777" w:rsidR="00A2073F" w:rsidRPr="008D1192" w:rsidRDefault="00A2073F" w:rsidP="00A2073F">
      <w:pPr>
        <w:spacing w:before="0" w:after="0"/>
        <w:ind w:left="0"/>
        <w:rPr>
          <w:rFonts w:asciiTheme="minorHAnsi" w:hAnsiTheme="minorHAnsi" w:cstheme="minorHAnsi"/>
        </w:rPr>
      </w:pPr>
    </w:p>
    <w:p w14:paraId="6CF44EED" w14:textId="79EA923D" w:rsidR="00A948BF" w:rsidRPr="008D1192" w:rsidRDefault="00A2073F" w:rsidP="00FF4273">
      <w:pPr>
        <w:pStyle w:val="Heading1"/>
        <w:numPr>
          <w:ilvl w:val="0"/>
          <w:numId w:val="0"/>
        </w:numPr>
        <w:ind w:left="720"/>
        <w:rPr>
          <w:rFonts w:asciiTheme="minorHAnsi" w:hAnsiTheme="minorHAnsi" w:cstheme="minorHAnsi"/>
          <w:sz w:val="22"/>
          <w:szCs w:val="22"/>
        </w:rPr>
      </w:pPr>
      <w:bookmarkStart w:id="2" w:name="_Toc142334805"/>
      <w:r w:rsidRPr="008D1192">
        <w:rPr>
          <w:rFonts w:asciiTheme="minorHAnsi" w:hAnsiTheme="minorHAnsi" w:cstheme="minorHAnsi"/>
          <w:sz w:val="22"/>
          <w:szCs w:val="22"/>
        </w:rPr>
        <w:t xml:space="preserve">C. Condiții legate de domeniile de excludere din </w:t>
      </w:r>
      <w:r w:rsidR="00A948BF" w:rsidRPr="008D1192">
        <w:rPr>
          <w:rFonts w:asciiTheme="minorHAnsi" w:hAnsiTheme="minorHAnsi" w:cstheme="minorHAnsi"/>
          <w:sz w:val="22"/>
          <w:szCs w:val="22"/>
        </w:rPr>
        <w:t xml:space="preserve">Regulamentul UE </w:t>
      </w:r>
      <w:r w:rsidR="00400C56" w:rsidRPr="008D1192">
        <w:rPr>
          <w:rFonts w:asciiTheme="minorHAnsi" w:hAnsiTheme="minorHAnsi" w:cstheme="minorHAnsi"/>
          <w:sz w:val="22"/>
          <w:szCs w:val="22"/>
        </w:rPr>
        <w:t xml:space="preserve">nr. </w:t>
      </w:r>
      <w:r w:rsidR="00A948BF" w:rsidRPr="008D1192">
        <w:rPr>
          <w:rFonts w:asciiTheme="minorHAnsi" w:hAnsiTheme="minorHAnsi" w:cstheme="minorHAnsi"/>
          <w:sz w:val="22"/>
          <w:szCs w:val="22"/>
        </w:rPr>
        <w:t>651/2014, cu modificările și completările ulterioare</w:t>
      </w:r>
      <w:bookmarkEnd w:id="2"/>
    </w:p>
    <w:p w14:paraId="635243E8" w14:textId="77777777" w:rsidR="00400C56" w:rsidRPr="008D1192" w:rsidRDefault="00400C56" w:rsidP="00A2073F">
      <w:pPr>
        <w:spacing w:before="0" w:after="0"/>
        <w:ind w:left="0"/>
        <w:rPr>
          <w:rFonts w:asciiTheme="minorHAnsi" w:hAnsiTheme="minorHAnsi" w:cstheme="minorHAnsi"/>
          <w:b/>
          <w:bCs/>
          <w:color w:val="0070C0"/>
        </w:rPr>
      </w:pPr>
    </w:p>
    <w:p w14:paraId="519A6CFF" w14:textId="27CB2334" w:rsidR="00A2073F" w:rsidRPr="008D1192" w:rsidRDefault="00400C56" w:rsidP="00A2073F">
      <w:pPr>
        <w:spacing w:before="0" w:after="0"/>
        <w:ind w:left="0"/>
        <w:rPr>
          <w:rFonts w:asciiTheme="minorHAnsi" w:hAnsiTheme="minorHAnsi" w:cstheme="minorHAnsi"/>
        </w:rPr>
      </w:pPr>
      <w:r w:rsidRPr="008D1192">
        <w:rPr>
          <w:rFonts w:asciiTheme="minorHAnsi" w:hAnsiTheme="minorHAnsi" w:cstheme="minorHAnsi"/>
        </w:rPr>
        <w:t>R</w:t>
      </w:r>
      <w:r w:rsidR="00A2073F" w:rsidRPr="008D1192">
        <w:rPr>
          <w:rFonts w:asciiTheme="minorHAnsi" w:hAnsiTheme="minorHAnsi" w:cstheme="minorHAnsi"/>
        </w:rPr>
        <w:t>egulament</w:t>
      </w:r>
      <w:r w:rsidRPr="008D1192">
        <w:rPr>
          <w:rFonts w:asciiTheme="minorHAnsi" w:hAnsiTheme="minorHAnsi" w:cstheme="minorHAnsi"/>
        </w:rPr>
        <w:t>ul menționat</w:t>
      </w:r>
      <w:r w:rsidR="00A2073F" w:rsidRPr="008D1192">
        <w:rPr>
          <w:rFonts w:asciiTheme="minorHAnsi" w:hAnsiTheme="minorHAnsi" w:cstheme="minorHAnsi"/>
        </w:rPr>
        <w:t xml:space="preserve"> nu se aplică: </w:t>
      </w:r>
    </w:p>
    <w:p w14:paraId="38F296E6" w14:textId="77777777" w:rsidR="00A2073F" w:rsidRPr="008D1192" w:rsidRDefault="00A2073F" w:rsidP="00A2073F">
      <w:pPr>
        <w:spacing w:before="0" w:after="0"/>
        <w:ind w:left="0"/>
        <w:rPr>
          <w:rFonts w:asciiTheme="minorHAnsi" w:hAnsiTheme="minorHAnsi" w:cstheme="minorHAnsi"/>
        </w:rPr>
      </w:pPr>
    </w:p>
    <w:p w14:paraId="73E7BFE0" w14:textId="288AC0F4" w:rsidR="00A2073F" w:rsidRPr="008D1192" w:rsidRDefault="00A2073F" w:rsidP="00A2073F">
      <w:pPr>
        <w:pStyle w:val="ListParagraph"/>
        <w:numPr>
          <w:ilvl w:val="0"/>
          <w:numId w:val="10"/>
        </w:numPr>
        <w:spacing w:before="0" w:after="0"/>
        <w:rPr>
          <w:rFonts w:asciiTheme="minorHAnsi" w:hAnsiTheme="minorHAnsi" w:cstheme="minorHAnsi"/>
        </w:rPr>
      </w:pPr>
      <w:r w:rsidRPr="008D1192">
        <w:rPr>
          <w:rFonts w:asciiTheme="minorHAnsi" w:hAnsiTheme="minorHAnsi" w:cstheme="minorHAnsi"/>
        </w:rPr>
        <w:t xml:space="preserve">ajutoarelor acordate în sectorul pescuitului și acvaculturii, care intră în domeniul de aplicare al Regulamentului (UE) nr. 1379/2013, cu </w:t>
      </w:r>
      <w:proofErr w:type="spellStart"/>
      <w:r w:rsidRPr="008D1192">
        <w:rPr>
          <w:rFonts w:asciiTheme="minorHAnsi" w:hAnsiTheme="minorHAnsi" w:cstheme="minorHAnsi"/>
        </w:rPr>
        <w:t>excepţia</w:t>
      </w:r>
      <w:proofErr w:type="spellEnd"/>
      <w:r w:rsidRPr="008D1192">
        <w:rPr>
          <w:rFonts w:asciiTheme="minorHAnsi" w:hAnsiTheme="minorHAnsi" w:cstheme="minorHAnsi"/>
        </w:rPr>
        <w:t xml:space="preserve"> următoarelor: ajutoare pentru formare; ajutoare pentru accesul IMM-urilor la </w:t>
      </w:r>
      <w:proofErr w:type="spellStart"/>
      <w:r w:rsidRPr="008D1192">
        <w:rPr>
          <w:rFonts w:asciiTheme="minorHAnsi" w:hAnsiTheme="minorHAnsi" w:cstheme="minorHAnsi"/>
        </w:rPr>
        <w:t>finanţare</w:t>
      </w:r>
      <w:proofErr w:type="spellEnd"/>
      <w:r w:rsidRPr="008D1192">
        <w:rPr>
          <w:rFonts w:asciiTheme="minorHAnsi" w:hAnsiTheme="minorHAnsi" w:cstheme="minorHAnsi"/>
        </w:rPr>
        <w:t xml:space="preserve">; ajutoare în domeniul cercetării și dezvoltării; ajutoare pentru inovare acordate IMM-urilor; ajutoare pentru lucrătorii </w:t>
      </w:r>
      <w:proofErr w:type="spellStart"/>
      <w:r w:rsidRPr="008D1192">
        <w:rPr>
          <w:rFonts w:asciiTheme="minorHAnsi" w:hAnsiTheme="minorHAnsi" w:cstheme="minorHAnsi"/>
        </w:rPr>
        <w:t>defavorizaţi</w:t>
      </w:r>
      <w:proofErr w:type="spellEnd"/>
      <w:r w:rsidRPr="008D1192">
        <w:rPr>
          <w:rFonts w:asciiTheme="minorHAnsi" w:hAnsiTheme="minorHAnsi" w:cstheme="minorHAnsi"/>
        </w:rPr>
        <w:t xml:space="preserve"> și pentru lucrătorii cu handicap; — ajutoare regionale pentru </w:t>
      </w:r>
      <w:proofErr w:type="spellStart"/>
      <w:r w:rsidRPr="008D1192">
        <w:rPr>
          <w:rFonts w:asciiTheme="minorHAnsi" w:hAnsiTheme="minorHAnsi" w:cstheme="minorHAnsi"/>
        </w:rPr>
        <w:t>investiţiile</w:t>
      </w:r>
      <w:proofErr w:type="spellEnd"/>
      <w:r w:rsidRPr="008D1192">
        <w:rPr>
          <w:rFonts w:asciiTheme="minorHAnsi" w:hAnsiTheme="minorHAnsi" w:cstheme="minorHAnsi"/>
        </w:rPr>
        <w:t xml:space="preserve"> în regiuni </w:t>
      </w:r>
      <w:proofErr w:type="spellStart"/>
      <w:r w:rsidRPr="008D1192">
        <w:rPr>
          <w:rFonts w:asciiTheme="minorHAnsi" w:hAnsiTheme="minorHAnsi" w:cstheme="minorHAnsi"/>
        </w:rPr>
        <w:t>ultraperiferice</w:t>
      </w:r>
      <w:proofErr w:type="spellEnd"/>
      <w:r w:rsidRPr="008D1192">
        <w:rPr>
          <w:rFonts w:asciiTheme="minorHAnsi" w:hAnsiTheme="minorHAnsi" w:cstheme="minorHAnsi"/>
        </w:rPr>
        <w:t xml:space="preserve">; scheme de ajutoare regionale de exploatare; ajutoare pentru proiectele de dezvoltare locală plasată sub responsabilitatea </w:t>
      </w:r>
      <w:proofErr w:type="spellStart"/>
      <w:r w:rsidRPr="008D1192">
        <w:rPr>
          <w:rFonts w:asciiTheme="minorHAnsi" w:hAnsiTheme="minorHAnsi" w:cstheme="minorHAnsi"/>
        </w:rPr>
        <w:t>comunităţii</w:t>
      </w:r>
      <w:proofErr w:type="spellEnd"/>
      <w:r w:rsidRPr="008D1192">
        <w:rPr>
          <w:rFonts w:asciiTheme="minorHAnsi" w:hAnsiTheme="minorHAnsi" w:cstheme="minorHAnsi"/>
        </w:rPr>
        <w:t xml:space="preserve">; ajutoare pentru proiectele de cooperare teritorială europeană; începând cu 1 iulie 2023, ajutoarele sub formă de reduceri ale taxelor de mediu în temeiul Directivei 2003/96/CE; ajutoare incluse în produsele financiare care beneficiază de sprijin din Fondul </w:t>
      </w:r>
      <w:proofErr w:type="spellStart"/>
      <w:r w:rsidRPr="008D1192">
        <w:rPr>
          <w:rFonts w:asciiTheme="minorHAnsi" w:hAnsiTheme="minorHAnsi" w:cstheme="minorHAnsi"/>
        </w:rPr>
        <w:t>InvestEU</w:t>
      </w:r>
      <w:proofErr w:type="spellEnd"/>
      <w:r w:rsidRPr="008D1192">
        <w:rPr>
          <w:rFonts w:asciiTheme="minorHAnsi" w:hAnsiTheme="minorHAnsi" w:cstheme="minorHAnsi"/>
        </w:rPr>
        <w:t xml:space="preserve">, cu </w:t>
      </w:r>
      <w:proofErr w:type="spellStart"/>
      <w:r w:rsidRPr="008D1192">
        <w:rPr>
          <w:rFonts w:asciiTheme="minorHAnsi" w:hAnsiTheme="minorHAnsi" w:cstheme="minorHAnsi"/>
        </w:rPr>
        <w:t>excepţia</w:t>
      </w:r>
      <w:proofErr w:type="spellEnd"/>
      <w:r w:rsidRPr="008D1192">
        <w:rPr>
          <w:rFonts w:asciiTheme="minorHAnsi" w:hAnsiTheme="minorHAnsi" w:cstheme="minorHAnsi"/>
        </w:rPr>
        <w:t xml:space="preserve"> </w:t>
      </w:r>
      <w:proofErr w:type="spellStart"/>
      <w:r w:rsidRPr="008D1192">
        <w:rPr>
          <w:rFonts w:asciiTheme="minorHAnsi" w:hAnsiTheme="minorHAnsi" w:cstheme="minorHAnsi"/>
        </w:rPr>
        <w:t>operaţiunilor</w:t>
      </w:r>
      <w:proofErr w:type="spellEnd"/>
      <w:r w:rsidRPr="008D1192">
        <w:rPr>
          <w:rFonts w:asciiTheme="minorHAnsi" w:hAnsiTheme="minorHAnsi" w:cstheme="minorHAnsi"/>
        </w:rPr>
        <w:t xml:space="preserve"> enumerate la articolul 1 alineatul (1) din Regulamentul (UE) nr. 717/2014; pentru ajutoarele acordate microîntreprinderilor sub formă de </w:t>
      </w:r>
      <w:proofErr w:type="spellStart"/>
      <w:r w:rsidRPr="008D1192">
        <w:rPr>
          <w:rFonts w:asciiTheme="minorHAnsi" w:hAnsiTheme="minorHAnsi" w:cstheme="minorHAnsi"/>
        </w:rPr>
        <w:t>intervenţii</w:t>
      </w:r>
      <w:proofErr w:type="spellEnd"/>
      <w:r w:rsidRPr="008D1192">
        <w:rPr>
          <w:rFonts w:asciiTheme="minorHAnsi" w:hAnsiTheme="minorHAnsi" w:cstheme="minorHAnsi"/>
        </w:rPr>
        <w:t xml:space="preserve"> publice privind furnizarea de energie electrică, gaze sau căldură; pentru ajutoarele acordate IMM-urilor sub forma unor </w:t>
      </w:r>
      <w:proofErr w:type="spellStart"/>
      <w:r w:rsidRPr="008D1192">
        <w:rPr>
          <w:rFonts w:asciiTheme="minorHAnsi" w:hAnsiTheme="minorHAnsi" w:cstheme="minorHAnsi"/>
        </w:rPr>
        <w:t>intervenţii</w:t>
      </w:r>
      <w:proofErr w:type="spellEnd"/>
      <w:r w:rsidRPr="008D1192">
        <w:rPr>
          <w:rFonts w:asciiTheme="minorHAnsi" w:hAnsiTheme="minorHAnsi" w:cstheme="minorHAnsi"/>
        </w:rPr>
        <w:t xml:space="preserve"> publice temporare privind furnizarea de energie electrică, gaze sau căldură produsă din gaze naturale sau energie electrică pentru a atenua impactul creșterii </w:t>
      </w:r>
      <w:proofErr w:type="spellStart"/>
      <w:r w:rsidRPr="008D1192">
        <w:rPr>
          <w:rFonts w:asciiTheme="minorHAnsi" w:hAnsiTheme="minorHAnsi" w:cstheme="minorHAnsi"/>
        </w:rPr>
        <w:t>preţurilor</w:t>
      </w:r>
      <w:proofErr w:type="spellEnd"/>
      <w:r w:rsidRPr="008D1192">
        <w:rPr>
          <w:rFonts w:asciiTheme="minorHAnsi" w:hAnsiTheme="minorHAnsi" w:cstheme="minorHAnsi"/>
        </w:rPr>
        <w:t xml:space="preserve"> în urma războiului de agresiune al Rusiei împotriva Ucrainei;</w:t>
      </w:r>
    </w:p>
    <w:p w14:paraId="7A3BD52C" w14:textId="77777777" w:rsidR="00A2073F" w:rsidRPr="008D1192" w:rsidRDefault="00A2073F" w:rsidP="00A2073F">
      <w:pPr>
        <w:pStyle w:val="ListParagraph"/>
        <w:spacing w:before="0" w:after="0"/>
        <w:rPr>
          <w:rFonts w:asciiTheme="minorHAnsi" w:hAnsiTheme="minorHAnsi" w:cstheme="minorHAnsi"/>
        </w:rPr>
      </w:pPr>
    </w:p>
    <w:p w14:paraId="4C507FC4" w14:textId="77777777" w:rsidR="00A2073F" w:rsidRPr="008D1192" w:rsidRDefault="00A2073F" w:rsidP="00A2073F">
      <w:pPr>
        <w:spacing w:before="0" w:after="0"/>
        <w:ind w:left="0"/>
        <w:rPr>
          <w:rFonts w:asciiTheme="minorHAnsi" w:hAnsiTheme="minorHAnsi" w:cstheme="minorHAnsi"/>
        </w:rPr>
      </w:pPr>
    </w:p>
    <w:p w14:paraId="31506B9D" w14:textId="77777777" w:rsidR="002E6B3D" w:rsidRPr="008D1192" w:rsidRDefault="00A2073F" w:rsidP="002E6B3D">
      <w:pPr>
        <w:pStyle w:val="ListParagraph"/>
        <w:numPr>
          <w:ilvl w:val="0"/>
          <w:numId w:val="10"/>
        </w:numPr>
        <w:spacing w:before="0" w:after="0"/>
        <w:rPr>
          <w:rFonts w:asciiTheme="minorHAnsi" w:hAnsiTheme="minorHAnsi" w:cstheme="minorHAnsi"/>
        </w:rPr>
      </w:pPr>
      <w:r w:rsidRPr="008D1192">
        <w:rPr>
          <w:rFonts w:asciiTheme="minorHAnsi" w:hAnsiTheme="minorHAnsi" w:cstheme="minorHAnsi"/>
        </w:rPr>
        <w:t xml:space="preserve">ajutoarelor acordate în sectorul </w:t>
      </w:r>
      <w:proofErr w:type="spellStart"/>
      <w:r w:rsidRPr="008D1192">
        <w:rPr>
          <w:rFonts w:asciiTheme="minorHAnsi" w:hAnsiTheme="minorHAnsi" w:cstheme="minorHAnsi"/>
        </w:rPr>
        <w:t>producţiei</w:t>
      </w:r>
      <w:proofErr w:type="spellEnd"/>
      <w:r w:rsidRPr="008D1192">
        <w:rPr>
          <w:rFonts w:asciiTheme="minorHAnsi" w:hAnsiTheme="minorHAnsi" w:cstheme="minorHAnsi"/>
        </w:rPr>
        <w:t xml:space="preserve"> agricole primare, cu </w:t>
      </w:r>
      <w:proofErr w:type="spellStart"/>
      <w:r w:rsidRPr="008D1192">
        <w:rPr>
          <w:rFonts w:asciiTheme="minorHAnsi" w:hAnsiTheme="minorHAnsi" w:cstheme="minorHAnsi"/>
        </w:rPr>
        <w:t>excepţia</w:t>
      </w:r>
      <w:proofErr w:type="spellEnd"/>
      <w:r w:rsidRPr="008D1192">
        <w:rPr>
          <w:rFonts w:asciiTheme="minorHAnsi" w:hAnsiTheme="minorHAnsi" w:cstheme="minorHAnsi"/>
        </w:rPr>
        <w:t xml:space="preserve"> ajutoarelor regionale pentru </w:t>
      </w:r>
      <w:proofErr w:type="spellStart"/>
      <w:r w:rsidRPr="008D1192">
        <w:rPr>
          <w:rFonts w:asciiTheme="minorHAnsi" w:hAnsiTheme="minorHAnsi" w:cstheme="minorHAnsi"/>
        </w:rPr>
        <w:t>investiţii</w:t>
      </w:r>
      <w:proofErr w:type="spellEnd"/>
      <w:r w:rsidRPr="008D1192">
        <w:rPr>
          <w:rFonts w:asciiTheme="minorHAnsi" w:hAnsiTheme="minorHAnsi" w:cstheme="minorHAnsi"/>
        </w:rPr>
        <w:t xml:space="preserve"> în regiunile </w:t>
      </w:r>
      <w:proofErr w:type="spellStart"/>
      <w:r w:rsidRPr="008D1192">
        <w:rPr>
          <w:rFonts w:asciiTheme="minorHAnsi" w:hAnsiTheme="minorHAnsi" w:cstheme="minorHAnsi"/>
        </w:rPr>
        <w:t>ultraperiferice</w:t>
      </w:r>
      <w:proofErr w:type="spellEnd"/>
      <w:r w:rsidRPr="008D1192">
        <w:rPr>
          <w:rFonts w:asciiTheme="minorHAnsi" w:hAnsiTheme="minorHAnsi" w:cstheme="minorHAnsi"/>
        </w:rPr>
        <w:t xml:space="preserve">, a schemelor de ajutoare regionale de exploatare, a ajutoarelor pentru </w:t>
      </w:r>
      <w:proofErr w:type="spellStart"/>
      <w:r w:rsidRPr="008D1192">
        <w:rPr>
          <w:rFonts w:asciiTheme="minorHAnsi" w:hAnsiTheme="minorHAnsi" w:cstheme="minorHAnsi"/>
        </w:rPr>
        <w:t>consultanţă</w:t>
      </w:r>
      <w:proofErr w:type="spellEnd"/>
      <w:r w:rsidRPr="008D1192">
        <w:rPr>
          <w:rFonts w:asciiTheme="minorHAnsi" w:hAnsiTheme="minorHAnsi" w:cstheme="minorHAnsi"/>
        </w:rPr>
        <w:t xml:space="preserve"> în favoarea IMM-urilor, a ajutoarelor pentru </w:t>
      </w:r>
      <w:proofErr w:type="spellStart"/>
      <w:r w:rsidRPr="008D1192">
        <w:rPr>
          <w:rFonts w:asciiTheme="minorHAnsi" w:hAnsiTheme="minorHAnsi" w:cstheme="minorHAnsi"/>
        </w:rPr>
        <w:t>finanţare</w:t>
      </w:r>
      <w:proofErr w:type="spellEnd"/>
      <w:r w:rsidRPr="008D1192">
        <w:rPr>
          <w:rFonts w:asciiTheme="minorHAnsi" w:hAnsiTheme="minorHAnsi" w:cstheme="minorHAnsi"/>
        </w:rPr>
        <w:t xml:space="preserve"> de risc, a ajutoarelor pentru cercetare și dezvoltare, a ajutoarelor pentru inovare destinate IMM-urilor, a ajutoarelor de </w:t>
      </w:r>
      <w:r w:rsidRPr="008D1192">
        <w:rPr>
          <w:rFonts w:asciiTheme="minorHAnsi" w:hAnsiTheme="minorHAnsi" w:cstheme="minorHAnsi"/>
        </w:rPr>
        <w:lastRenderedPageBreak/>
        <w:t xml:space="preserve">mediu, a ajutoarelor pentru formare, a ajutoarelor pentru lucrătorii </w:t>
      </w:r>
      <w:proofErr w:type="spellStart"/>
      <w:r w:rsidRPr="008D1192">
        <w:rPr>
          <w:rFonts w:asciiTheme="minorHAnsi" w:hAnsiTheme="minorHAnsi" w:cstheme="minorHAnsi"/>
        </w:rPr>
        <w:t>defavorizaţi</w:t>
      </w:r>
      <w:proofErr w:type="spellEnd"/>
      <w:r w:rsidRPr="008D1192">
        <w:rPr>
          <w:rFonts w:asciiTheme="minorHAnsi" w:hAnsiTheme="minorHAnsi" w:cstheme="minorHAnsi"/>
        </w:rPr>
        <w:t xml:space="preserve"> și pentru lucrătorii cu handicap, a ajutoarelor pentru proiectele de dezvoltare locală plasată sub responsabilitatea </w:t>
      </w:r>
      <w:proofErr w:type="spellStart"/>
      <w:r w:rsidRPr="008D1192">
        <w:rPr>
          <w:rFonts w:asciiTheme="minorHAnsi" w:hAnsiTheme="minorHAnsi" w:cstheme="minorHAnsi"/>
        </w:rPr>
        <w:t>comunităţii</w:t>
      </w:r>
      <w:proofErr w:type="spellEnd"/>
      <w:r w:rsidRPr="008D1192">
        <w:rPr>
          <w:rFonts w:asciiTheme="minorHAnsi" w:hAnsiTheme="minorHAnsi" w:cstheme="minorHAnsi"/>
        </w:rPr>
        <w:t xml:space="preserve">, a ajutoarelor pentru proiectele de cooperare teritorială europeană, a ajutoarelor incluse în produse financiare sprijinite de Fondul </w:t>
      </w:r>
      <w:proofErr w:type="spellStart"/>
      <w:r w:rsidRPr="008D1192">
        <w:rPr>
          <w:rFonts w:asciiTheme="minorHAnsi" w:hAnsiTheme="minorHAnsi" w:cstheme="minorHAnsi"/>
        </w:rPr>
        <w:t>InvestEU</w:t>
      </w:r>
      <w:proofErr w:type="spellEnd"/>
      <w:r w:rsidRPr="008D1192">
        <w:rPr>
          <w:rFonts w:asciiTheme="minorHAnsi" w:hAnsiTheme="minorHAnsi" w:cstheme="minorHAnsi"/>
        </w:rPr>
        <w:t xml:space="preserve">, a ajutoarelor pentru microîntreprinderi sub formă de </w:t>
      </w:r>
      <w:proofErr w:type="spellStart"/>
      <w:r w:rsidRPr="008D1192">
        <w:rPr>
          <w:rFonts w:asciiTheme="minorHAnsi" w:hAnsiTheme="minorHAnsi" w:cstheme="minorHAnsi"/>
        </w:rPr>
        <w:t>intervenţii</w:t>
      </w:r>
      <w:proofErr w:type="spellEnd"/>
      <w:r w:rsidRPr="008D1192">
        <w:rPr>
          <w:rFonts w:asciiTheme="minorHAnsi" w:hAnsiTheme="minorHAnsi" w:cstheme="minorHAnsi"/>
        </w:rPr>
        <w:t xml:space="preserve"> publice privind furnizarea de energie electrică, gaze sau căldură și a ajutoarelor pentru IMM-uri sub forma unor </w:t>
      </w:r>
      <w:proofErr w:type="spellStart"/>
      <w:r w:rsidRPr="008D1192">
        <w:rPr>
          <w:rFonts w:asciiTheme="minorHAnsi" w:hAnsiTheme="minorHAnsi" w:cstheme="minorHAnsi"/>
        </w:rPr>
        <w:t>intervenţii</w:t>
      </w:r>
      <w:proofErr w:type="spellEnd"/>
      <w:r w:rsidRPr="008D1192">
        <w:rPr>
          <w:rFonts w:asciiTheme="minorHAnsi" w:hAnsiTheme="minorHAnsi" w:cstheme="minorHAnsi"/>
        </w:rPr>
        <w:t xml:space="preserve"> publice temporare privind furnizarea de energie electrică, gaze sau căldură produsă din gaze naturale sau energie electrică pentru a atenua impactul creșterii </w:t>
      </w:r>
      <w:proofErr w:type="spellStart"/>
      <w:r w:rsidRPr="008D1192">
        <w:rPr>
          <w:rFonts w:asciiTheme="minorHAnsi" w:hAnsiTheme="minorHAnsi" w:cstheme="minorHAnsi"/>
        </w:rPr>
        <w:t>preţurilor</w:t>
      </w:r>
      <w:proofErr w:type="spellEnd"/>
      <w:r w:rsidRPr="008D1192">
        <w:rPr>
          <w:rFonts w:asciiTheme="minorHAnsi" w:hAnsiTheme="minorHAnsi" w:cstheme="minorHAnsi"/>
        </w:rPr>
        <w:t xml:space="preserve"> în urma războiului de agresiune al Rusiei împotriva Ucrainei;</w:t>
      </w:r>
    </w:p>
    <w:p w14:paraId="46D16830" w14:textId="77777777" w:rsidR="002E6B3D" w:rsidRPr="008D1192" w:rsidRDefault="002E6B3D" w:rsidP="002E6B3D">
      <w:pPr>
        <w:pStyle w:val="ListParagraph"/>
        <w:numPr>
          <w:ilvl w:val="0"/>
          <w:numId w:val="10"/>
        </w:numPr>
        <w:spacing w:before="0" w:after="0"/>
        <w:rPr>
          <w:rFonts w:asciiTheme="minorHAnsi" w:hAnsiTheme="minorHAnsi" w:cstheme="minorHAnsi"/>
        </w:rPr>
      </w:pPr>
      <w:r w:rsidRPr="008D1192">
        <w:rPr>
          <w:rFonts w:asciiTheme="minorHAnsi" w:hAnsiTheme="minorHAnsi" w:cstheme="minorHAnsi"/>
        </w:rPr>
        <w:t xml:space="preserve">ajutoarelor acordate în sectorul prelucrării și comercializării produselor agricole, în următoarele cazuri: </w:t>
      </w:r>
    </w:p>
    <w:p w14:paraId="1710E240" w14:textId="77777777" w:rsidR="002E6B3D" w:rsidRPr="008D1192" w:rsidRDefault="002E6B3D" w:rsidP="002E6B3D">
      <w:pPr>
        <w:pStyle w:val="ListParagraph"/>
        <w:numPr>
          <w:ilvl w:val="2"/>
          <w:numId w:val="10"/>
        </w:numPr>
        <w:spacing w:before="0" w:after="0"/>
        <w:rPr>
          <w:rFonts w:asciiTheme="minorHAnsi" w:hAnsiTheme="minorHAnsi" w:cstheme="minorHAnsi"/>
        </w:rPr>
      </w:pPr>
      <w:r w:rsidRPr="008D1192">
        <w:rPr>
          <w:rFonts w:asciiTheme="minorHAnsi" w:hAnsiTheme="minorHAnsi" w:cstheme="minorHAnsi"/>
        </w:rPr>
        <w:t xml:space="preserve">atunci când valoarea ajutoarelor este stabilită pe baza </w:t>
      </w:r>
      <w:proofErr w:type="spellStart"/>
      <w:r w:rsidRPr="008D1192">
        <w:rPr>
          <w:rFonts w:asciiTheme="minorHAnsi" w:hAnsiTheme="minorHAnsi" w:cstheme="minorHAnsi"/>
        </w:rPr>
        <w:t>preţului</w:t>
      </w:r>
      <w:proofErr w:type="spellEnd"/>
      <w:r w:rsidRPr="008D1192">
        <w:rPr>
          <w:rFonts w:asciiTheme="minorHAnsi" w:hAnsiTheme="minorHAnsi" w:cstheme="minorHAnsi"/>
        </w:rPr>
        <w:t xml:space="preserve"> sau a </w:t>
      </w:r>
      <w:proofErr w:type="spellStart"/>
      <w:r w:rsidRPr="008D1192">
        <w:rPr>
          <w:rFonts w:asciiTheme="minorHAnsi" w:hAnsiTheme="minorHAnsi" w:cstheme="minorHAnsi"/>
        </w:rPr>
        <w:t>cantităţii</w:t>
      </w:r>
      <w:proofErr w:type="spellEnd"/>
      <w:r w:rsidRPr="008D1192">
        <w:rPr>
          <w:rFonts w:asciiTheme="minorHAnsi" w:hAnsiTheme="minorHAnsi" w:cstheme="minorHAnsi"/>
        </w:rPr>
        <w:t xml:space="preserve"> unor astfel de produse </w:t>
      </w:r>
      <w:proofErr w:type="spellStart"/>
      <w:r w:rsidRPr="008D1192">
        <w:rPr>
          <w:rFonts w:asciiTheme="minorHAnsi" w:hAnsiTheme="minorHAnsi" w:cstheme="minorHAnsi"/>
        </w:rPr>
        <w:t>achiziţionate</w:t>
      </w:r>
      <w:proofErr w:type="spellEnd"/>
      <w:r w:rsidRPr="008D1192">
        <w:rPr>
          <w:rFonts w:asciiTheme="minorHAnsi" w:hAnsiTheme="minorHAnsi" w:cstheme="minorHAnsi"/>
        </w:rPr>
        <w:t xml:space="preserve"> de la producători primari sau introduse pe </w:t>
      </w:r>
      <w:proofErr w:type="spellStart"/>
      <w:r w:rsidRPr="008D1192">
        <w:rPr>
          <w:rFonts w:asciiTheme="minorHAnsi" w:hAnsiTheme="minorHAnsi" w:cstheme="minorHAnsi"/>
        </w:rPr>
        <w:t>piaţă</w:t>
      </w:r>
      <w:proofErr w:type="spellEnd"/>
      <w:r w:rsidRPr="008D1192">
        <w:rPr>
          <w:rFonts w:asciiTheme="minorHAnsi" w:hAnsiTheme="minorHAnsi" w:cstheme="minorHAnsi"/>
        </w:rPr>
        <w:t xml:space="preserve"> de întreprinderile respective; </w:t>
      </w:r>
    </w:p>
    <w:p w14:paraId="41F130A1" w14:textId="77777777" w:rsidR="002E6B3D" w:rsidRPr="008D1192" w:rsidRDefault="002E6B3D" w:rsidP="002E6B3D">
      <w:pPr>
        <w:pStyle w:val="ListParagraph"/>
        <w:numPr>
          <w:ilvl w:val="2"/>
          <w:numId w:val="10"/>
        </w:numPr>
        <w:spacing w:before="0" w:after="0"/>
        <w:rPr>
          <w:rFonts w:asciiTheme="minorHAnsi" w:hAnsiTheme="minorHAnsi" w:cstheme="minorHAnsi"/>
        </w:rPr>
      </w:pPr>
      <w:r w:rsidRPr="008D1192">
        <w:rPr>
          <w:rFonts w:asciiTheme="minorHAnsi" w:hAnsiTheme="minorHAnsi" w:cstheme="minorHAnsi"/>
        </w:rPr>
        <w:t xml:space="preserve">atunci când ajutoarele sunt </w:t>
      </w:r>
      <w:proofErr w:type="spellStart"/>
      <w:r w:rsidRPr="008D1192">
        <w:rPr>
          <w:rFonts w:asciiTheme="minorHAnsi" w:hAnsiTheme="minorHAnsi" w:cstheme="minorHAnsi"/>
        </w:rPr>
        <w:t>condiţionate</w:t>
      </w:r>
      <w:proofErr w:type="spellEnd"/>
      <w:r w:rsidRPr="008D1192">
        <w:rPr>
          <w:rFonts w:asciiTheme="minorHAnsi" w:hAnsiTheme="minorHAnsi" w:cstheme="minorHAnsi"/>
        </w:rPr>
        <w:t xml:space="preserve"> de transferarea lor </w:t>
      </w:r>
      <w:proofErr w:type="spellStart"/>
      <w:r w:rsidRPr="008D1192">
        <w:rPr>
          <w:rFonts w:asciiTheme="minorHAnsi" w:hAnsiTheme="minorHAnsi" w:cstheme="minorHAnsi"/>
        </w:rPr>
        <w:t>parţială</w:t>
      </w:r>
      <w:proofErr w:type="spellEnd"/>
      <w:r w:rsidRPr="008D1192">
        <w:rPr>
          <w:rFonts w:asciiTheme="minorHAnsi" w:hAnsiTheme="minorHAnsi" w:cstheme="minorHAnsi"/>
        </w:rPr>
        <w:t xml:space="preserve"> sau integrală către producătorii primari; </w:t>
      </w:r>
    </w:p>
    <w:p w14:paraId="3CDDCA7F" w14:textId="77777777" w:rsidR="002E6B3D" w:rsidRPr="008D1192" w:rsidRDefault="002E6B3D" w:rsidP="002E6B3D">
      <w:pPr>
        <w:pStyle w:val="ListParagraph"/>
        <w:numPr>
          <w:ilvl w:val="0"/>
          <w:numId w:val="10"/>
        </w:numPr>
        <w:spacing w:before="0" w:after="0"/>
        <w:rPr>
          <w:rFonts w:asciiTheme="minorHAnsi" w:hAnsiTheme="minorHAnsi" w:cstheme="minorHAnsi"/>
        </w:rPr>
      </w:pPr>
      <w:r w:rsidRPr="008D1192">
        <w:rPr>
          <w:rFonts w:asciiTheme="minorHAnsi" w:hAnsiTheme="minorHAnsi" w:cstheme="minorHAnsi"/>
        </w:rPr>
        <w:t xml:space="preserve">ajutoarelor pentru facilitarea închiderii minelor de cărbune necompetitive, astfel cum sunt reglementate de Decizia 2010/787/UE; </w:t>
      </w:r>
    </w:p>
    <w:p w14:paraId="715589C3" w14:textId="77777777" w:rsidR="002E6B3D" w:rsidRPr="008D1192" w:rsidRDefault="002E6B3D" w:rsidP="002E6B3D">
      <w:pPr>
        <w:pStyle w:val="ListParagraph"/>
        <w:numPr>
          <w:ilvl w:val="0"/>
          <w:numId w:val="10"/>
        </w:numPr>
        <w:spacing w:before="0" w:after="0"/>
        <w:rPr>
          <w:rFonts w:asciiTheme="minorHAnsi" w:hAnsiTheme="minorHAnsi" w:cstheme="minorHAnsi"/>
        </w:rPr>
      </w:pPr>
      <w:r w:rsidRPr="008D1192">
        <w:rPr>
          <w:rFonts w:asciiTheme="minorHAnsi" w:hAnsiTheme="minorHAnsi" w:cstheme="minorHAnsi"/>
        </w:rPr>
        <w:t xml:space="preserve">ajutoarelor pentru sectorul siderurgic, sectorul lignitului și sectorul cărbunelui; </w:t>
      </w:r>
    </w:p>
    <w:p w14:paraId="616C89A4" w14:textId="77777777" w:rsidR="002E6B3D" w:rsidRPr="008D1192" w:rsidRDefault="002E6B3D" w:rsidP="002E6B3D">
      <w:pPr>
        <w:pStyle w:val="ListParagraph"/>
        <w:numPr>
          <w:ilvl w:val="0"/>
          <w:numId w:val="10"/>
        </w:numPr>
        <w:spacing w:before="0" w:after="0"/>
        <w:rPr>
          <w:rFonts w:asciiTheme="minorHAnsi" w:hAnsiTheme="minorHAnsi" w:cstheme="minorHAnsi"/>
        </w:rPr>
      </w:pPr>
      <w:r w:rsidRPr="008D1192">
        <w:rPr>
          <w:rFonts w:asciiTheme="minorHAnsi" w:hAnsiTheme="minorHAnsi" w:cstheme="minorHAnsi"/>
        </w:rPr>
        <w:t xml:space="preserve">ajutoarelor pentru sectorul transporturilor, precum și pentru infrastructura conexă; ajutoarelor pentru sectorul producerii, stocării, transportului și </w:t>
      </w:r>
      <w:proofErr w:type="spellStart"/>
      <w:r w:rsidRPr="008D1192">
        <w:rPr>
          <w:rFonts w:asciiTheme="minorHAnsi" w:hAnsiTheme="minorHAnsi" w:cstheme="minorHAnsi"/>
        </w:rPr>
        <w:t>distribuţiei</w:t>
      </w:r>
      <w:proofErr w:type="spellEnd"/>
      <w:r w:rsidRPr="008D1192">
        <w:rPr>
          <w:rFonts w:asciiTheme="minorHAnsi" w:hAnsiTheme="minorHAnsi" w:cstheme="minorHAnsi"/>
        </w:rPr>
        <w:t xml:space="preserve"> de energie și pentru infrastructurile energetice, cu </w:t>
      </w:r>
      <w:proofErr w:type="spellStart"/>
      <w:r w:rsidRPr="008D1192">
        <w:rPr>
          <w:rFonts w:asciiTheme="minorHAnsi" w:hAnsiTheme="minorHAnsi" w:cstheme="minorHAnsi"/>
        </w:rPr>
        <w:t>excepţia</w:t>
      </w:r>
      <w:proofErr w:type="spellEnd"/>
      <w:r w:rsidRPr="008D1192">
        <w:rPr>
          <w:rFonts w:asciiTheme="minorHAnsi" w:hAnsiTheme="minorHAnsi" w:cstheme="minorHAnsi"/>
        </w:rPr>
        <w:t xml:space="preserve"> ajutoarelor regionale pentru </w:t>
      </w:r>
      <w:proofErr w:type="spellStart"/>
      <w:r w:rsidRPr="008D1192">
        <w:rPr>
          <w:rFonts w:asciiTheme="minorHAnsi" w:hAnsiTheme="minorHAnsi" w:cstheme="minorHAnsi"/>
        </w:rPr>
        <w:t>investiţii</w:t>
      </w:r>
      <w:proofErr w:type="spellEnd"/>
      <w:r w:rsidRPr="008D1192">
        <w:rPr>
          <w:rFonts w:asciiTheme="minorHAnsi" w:hAnsiTheme="minorHAnsi" w:cstheme="minorHAnsi"/>
        </w:rPr>
        <w:t xml:space="preserve"> din regiunile </w:t>
      </w:r>
      <w:proofErr w:type="spellStart"/>
      <w:r w:rsidRPr="008D1192">
        <w:rPr>
          <w:rFonts w:asciiTheme="minorHAnsi" w:hAnsiTheme="minorHAnsi" w:cstheme="minorHAnsi"/>
        </w:rPr>
        <w:t>ultraperiferice</w:t>
      </w:r>
      <w:proofErr w:type="spellEnd"/>
      <w:r w:rsidRPr="008D1192">
        <w:rPr>
          <w:rFonts w:asciiTheme="minorHAnsi" w:hAnsiTheme="minorHAnsi" w:cstheme="minorHAnsi"/>
        </w:rPr>
        <w:t xml:space="preserve"> și a schemelor de ajutoare regionale de exploatare; și ajutoarelor în sectorul </w:t>
      </w:r>
      <w:proofErr w:type="spellStart"/>
      <w:r w:rsidRPr="008D1192">
        <w:rPr>
          <w:rFonts w:asciiTheme="minorHAnsi" w:hAnsiTheme="minorHAnsi" w:cstheme="minorHAnsi"/>
        </w:rPr>
        <w:t>comunicaţiilor</w:t>
      </w:r>
      <w:proofErr w:type="spellEnd"/>
      <w:r w:rsidRPr="008D1192">
        <w:rPr>
          <w:rFonts w:asciiTheme="minorHAnsi" w:hAnsiTheme="minorHAnsi" w:cstheme="minorHAnsi"/>
        </w:rPr>
        <w:t xml:space="preserve"> în bandă largă, cu </w:t>
      </w:r>
      <w:proofErr w:type="spellStart"/>
      <w:r w:rsidRPr="008D1192">
        <w:rPr>
          <w:rFonts w:asciiTheme="minorHAnsi" w:hAnsiTheme="minorHAnsi" w:cstheme="minorHAnsi"/>
        </w:rPr>
        <w:t>excepţia</w:t>
      </w:r>
      <w:proofErr w:type="spellEnd"/>
      <w:r w:rsidRPr="008D1192">
        <w:rPr>
          <w:rFonts w:asciiTheme="minorHAnsi" w:hAnsiTheme="minorHAnsi" w:cstheme="minorHAnsi"/>
        </w:rPr>
        <w:t xml:space="preserve"> schemelor de ajutoare regionale de exploatare; </w:t>
      </w:r>
    </w:p>
    <w:p w14:paraId="7CECCD09" w14:textId="77777777" w:rsidR="002E6B3D" w:rsidRPr="008D1192" w:rsidRDefault="002E6B3D" w:rsidP="002E6B3D">
      <w:pPr>
        <w:pStyle w:val="ListParagraph"/>
        <w:numPr>
          <w:ilvl w:val="0"/>
          <w:numId w:val="10"/>
        </w:numPr>
        <w:spacing w:before="0" w:after="0"/>
        <w:rPr>
          <w:rFonts w:asciiTheme="minorHAnsi" w:hAnsiTheme="minorHAnsi" w:cstheme="minorHAnsi"/>
        </w:rPr>
      </w:pPr>
      <w:r w:rsidRPr="008D1192">
        <w:rPr>
          <w:rFonts w:asciiTheme="minorHAnsi" w:hAnsiTheme="minorHAnsi" w:cstheme="minorHAnsi"/>
        </w:rPr>
        <w:t xml:space="preserve">ajutoarelor regionale sub formă de scheme care vizează un număr limitat de sectoare specifice de activitate economică; nu se consideră că schemele de ajutoare destinate </w:t>
      </w:r>
      <w:proofErr w:type="spellStart"/>
      <w:r w:rsidRPr="008D1192">
        <w:rPr>
          <w:rFonts w:asciiTheme="minorHAnsi" w:hAnsiTheme="minorHAnsi" w:cstheme="minorHAnsi"/>
        </w:rPr>
        <w:t>activităţilor</w:t>
      </w:r>
      <w:proofErr w:type="spellEnd"/>
      <w:r w:rsidRPr="008D1192">
        <w:rPr>
          <w:rFonts w:asciiTheme="minorHAnsi" w:hAnsiTheme="minorHAnsi" w:cstheme="minorHAnsi"/>
        </w:rPr>
        <w:t xml:space="preserve"> turistice sau prelucrării și comercializării produselor agricole vizează sectoare specifice de activitate economică; </w:t>
      </w:r>
    </w:p>
    <w:p w14:paraId="334F67B9" w14:textId="1225F8C8" w:rsidR="002E6B3D" w:rsidRPr="008D1192" w:rsidRDefault="002E6B3D" w:rsidP="002E6B3D">
      <w:pPr>
        <w:pStyle w:val="ListParagraph"/>
        <w:numPr>
          <w:ilvl w:val="0"/>
          <w:numId w:val="10"/>
        </w:numPr>
        <w:spacing w:before="0" w:after="0"/>
        <w:rPr>
          <w:rFonts w:asciiTheme="minorHAnsi" w:hAnsiTheme="minorHAnsi" w:cstheme="minorHAnsi"/>
        </w:rPr>
      </w:pPr>
      <w:r w:rsidRPr="008D1192">
        <w:rPr>
          <w:rFonts w:asciiTheme="minorHAnsi" w:hAnsiTheme="minorHAnsi" w:cstheme="minorHAnsi"/>
        </w:rPr>
        <w:t xml:space="preserve">ajutoarelor regionale de exploatare acordate întreprinderilor ale căror </w:t>
      </w:r>
      <w:proofErr w:type="spellStart"/>
      <w:r w:rsidRPr="008D1192">
        <w:rPr>
          <w:rFonts w:asciiTheme="minorHAnsi" w:hAnsiTheme="minorHAnsi" w:cstheme="minorHAnsi"/>
        </w:rPr>
        <w:t>activităţi</w:t>
      </w:r>
      <w:proofErr w:type="spellEnd"/>
      <w:r w:rsidRPr="008D1192">
        <w:rPr>
          <w:rFonts w:asciiTheme="minorHAnsi" w:hAnsiTheme="minorHAnsi" w:cstheme="minorHAnsi"/>
        </w:rPr>
        <w:t xml:space="preserve"> principale se încadrează în </w:t>
      </w:r>
      <w:proofErr w:type="spellStart"/>
      <w:r w:rsidRPr="008D1192">
        <w:rPr>
          <w:rFonts w:asciiTheme="minorHAnsi" w:hAnsiTheme="minorHAnsi" w:cstheme="minorHAnsi"/>
        </w:rPr>
        <w:t>secţiunea</w:t>
      </w:r>
      <w:proofErr w:type="spellEnd"/>
      <w:r w:rsidRPr="008D1192">
        <w:rPr>
          <w:rFonts w:asciiTheme="minorHAnsi" w:hAnsiTheme="minorHAnsi" w:cstheme="minorHAnsi"/>
        </w:rPr>
        <w:t xml:space="preserve"> K „Intermedieri financiare și asigurări” din NACE Rev. 2 sau întreprinderilor care desfășoară </w:t>
      </w:r>
      <w:proofErr w:type="spellStart"/>
      <w:r w:rsidRPr="008D1192">
        <w:rPr>
          <w:rFonts w:asciiTheme="minorHAnsi" w:hAnsiTheme="minorHAnsi" w:cstheme="minorHAnsi"/>
        </w:rPr>
        <w:t>activităţi</w:t>
      </w:r>
      <w:proofErr w:type="spellEnd"/>
      <w:r w:rsidRPr="008D1192">
        <w:rPr>
          <w:rFonts w:asciiTheme="minorHAnsi" w:hAnsiTheme="minorHAnsi" w:cstheme="minorHAnsi"/>
        </w:rPr>
        <w:t xml:space="preserve"> în interiorul grupurilor și ale căror </w:t>
      </w:r>
      <w:proofErr w:type="spellStart"/>
      <w:r w:rsidRPr="008D1192">
        <w:rPr>
          <w:rFonts w:asciiTheme="minorHAnsi" w:hAnsiTheme="minorHAnsi" w:cstheme="minorHAnsi"/>
        </w:rPr>
        <w:t>activităţi</w:t>
      </w:r>
      <w:proofErr w:type="spellEnd"/>
      <w:r w:rsidRPr="008D1192">
        <w:rPr>
          <w:rFonts w:asciiTheme="minorHAnsi" w:hAnsiTheme="minorHAnsi" w:cstheme="minorHAnsi"/>
        </w:rPr>
        <w:t xml:space="preserve"> principale se încadrează în categoriile 70.10 „</w:t>
      </w:r>
      <w:proofErr w:type="spellStart"/>
      <w:r w:rsidRPr="008D1192">
        <w:rPr>
          <w:rFonts w:asciiTheme="minorHAnsi" w:hAnsiTheme="minorHAnsi" w:cstheme="minorHAnsi"/>
        </w:rPr>
        <w:t>Activităţi</w:t>
      </w:r>
      <w:proofErr w:type="spellEnd"/>
      <w:r w:rsidRPr="008D1192">
        <w:rPr>
          <w:rFonts w:asciiTheme="minorHAnsi" w:hAnsiTheme="minorHAnsi" w:cstheme="minorHAnsi"/>
        </w:rPr>
        <w:t xml:space="preserve"> ale </w:t>
      </w:r>
      <w:proofErr w:type="spellStart"/>
      <w:r w:rsidRPr="008D1192">
        <w:rPr>
          <w:rFonts w:asciiTheme="minorHAnsi" w:hAnsiTheme="minorHAnsi" w:cstheme="minorHAnsi"/>
        </w:rPr>
        <w:t>direcţiilor</w:t>
      </w:r>
      <w:proofErr w:type="spellEnd"/>
      <w:r w:rsidRPr="008D1192">
        <w:rPr>
          <w:rFonts w:asciiTheme="minorHAnsi" w:hAnsiTheme="minorHAnsi" w:cstheme="minorHAnsi"/>
        </w:rPr>
        <w:t xml:space="preserve"> (centralelor), birourilor administrative centralizate” sau 70.22 „</w:t>
      </w:r>
      <w:proofErr w:type="spellStart"/>
      <w:r w:rsidRPr="008D1192">
        <w:rPr>
          <w:rFonts w:asciiTheme="minorHAnsi" w:hAnsiTheme="minorHAnsi" w:cstheme="minorHAnsi"/>
        </w:rPr>
        <w:t>Activităţi</w:t>
      </w:r>
      <w:proofErr w:type="spellEnd"/>
      <w:r w:rsidRPr="008D1192">
        <w:rPr>
          <w:rFonts w:asciiTheme="minorHAnsi" w:hAnsiTheme="minorHAnsi" w:cstheme="minorHAnsi"/>
        </w:rPr>
        <w:t xml:space="preserve"> de </w:t>
      </w:r>
      <w:proofErr w:type="spellStart"/>
      <w:r w:rsidRPr="008D1192">
        <w:rPr>
          <w:rFonts w:asciiTheme="minorHAnsi" w:hAnsiTheme="minorHAnsi" w:cstheme="minorHAnsi"/>
        </w:rPr>
        <w:t>consultanţă</w:t>
      </w:r>
      <w:proofErr w:type="spellEnd"/>
      <w:r w:rsidRPr="008D1192">
        <w:rPr>
          <w:rFonts w:asciiTheme="minorHAnsi" w:hAnsiTheme="minorHAnsi" w:cstheme="minorHAnsi"/>
        </w:rPr>
        <w:t xml:space="preserve"> pentru afaceri și management” din NACE Rev. 2.</w:t>
      </w:r>
    </w:p>
    <w:p w14:paraId="5212A84F" w14:textId="77777777" w:rsidR="002E6B3D" w:rsidRPr="008D1192" w:rsidRDefault="002E6B3D" w:rsidP="002E6B3D">
      <w:pPr>
        <w:spacing w:before="0" w:after="0"/>
        <w:rPr>
          <w:rFonts w:asciiTheme="minorHAnsi" w:hAnsiTheme="minorHAnsi" w:cstheme="minorHAnsi"/>
        </w:rPr>
      </w:pPr>
    </w:p>
    <w:p w14:paraId="3A0BA345" w14:textId="77777777" w:rsidR="00400C56" w:rsidRPr="008D1192" w:rsidRDefault="00400C56" w:rsidP="00400C56">
      <w:pPr>
        <w:spacing w:after="0"/>
        <w:ind w:left="0"/>
        <w:rPr>
          <w:rFonts w:asciiTheme="minorHAnsi" w:hAnsiTheme="minorHAnsi" w:cstheme="minorHAnsi"/>
        </w:rPr>
      </w:pPr>
      <w:r w:rsidRPr="008D1192">
        <w:rPr>
          <w:rFonts w:asciiTheme="minorHAnsi" w:hAnsiTheme="minorHAnsi" w:cstheme="minorHAnsi"/>
        </w:rPr>
        <w:t xml:space="preserve">În cazul în care o întreprindere își desfășoară activitatea atât în sectoarele excluse </w:t>
      </w:r>
      <w:proofErr w:type="spellStart"/>
      <w:r w:rsidRPr="008D1192">
        <w:rPr>
          <w:rFonts w:asciiTheme="minorHAnsi" w:hAnsiTheme="minorHAnsi" w:cstheme="minorHAnsi"/>
        </w:rPr>
        <w:t>menţionate</w:t>
      </w:r>
      <w:proofErr w:type="spellEnd"/>
      <w:r w:rsidRPr="008D1192">
        <w:rPr>
          <w:rFonts w:asciiTheme="minorHAnsi" w:hAnsiTheme="minorHAnsi" w:cstheme="minorHAnsi"/>
        </w:rPr>
        <w:t xml:space="preserve">, cât și în sectoarele care intră în domeniul de aplicare a ajutorului de stat regional, solicitantul să se asigure, prin mijloace corespunzătoare, precum separarea </w:t>
      </w:r>
      <w:proofErr w:type="spellStart"/>
      <w:r w:rsidRPr="008D1192">
        <w:rPr>
          <w:rFonts w:asciiTheme="minorHAnsi" w:hAnsiTheme="minorHAnsi" w:cstheme="minorHAnsi"/>
        </w:rPr>
        <w:t>activităţilor</w:t>
      </w:r>
      <w:proofErr w:type="spellEnd"/>
      <w:r w:rsidRPr="008D1192">
        <w:rPr>
          <w:rFonts w:asciiTheme="minorHAnsi" w:hAnsiTheme="minorHAnsi" w:cstheme="minorHAnsi"/>
        </w:rPr>
        <w:t xml:space="preserve"> sau o </w:t>
      </w:r>
      <w:proofErr w:type="spellStart"/>
      <w:r w:rsidRPr="008D1192">
        <w:rPr>
          <w:rFonts w:asciiTheme="minorHAnsi" w:hAnsiTheme="minorHAnsi" w:cstheme="minorHAnsi"/>
        </w:rPr>
        <w:t>distincţie</w:t>
      </w:r>
      <w:proofErr w:type="spellEnd"/>
      <w:r w:rsidRPr="008D1192">
        <w:rPr>
          <w:rFonts w:asciiTheme="minorHAnsi" w:hAnsiTheme="minorHAnsi" w:cstheme="minorHAnsi"/>
        </w:rPr>
        <w:t xml:space="preserve"> între costuri, că </w:t>
      </w:r>
      <w:proofErr w:type="spellStart"/>
      <w:r w:rsidRPr="008D1192">
        <w:rPr>
          <w:rFonts w:asciiTheme="minorHAnsi" w:hAnsiTheme="minorHAnsi" w:cstheme="minorHAnsi"/>
        </w:rPr>
        <w:t>activităţile</w:t>
      </w:r>
      <w:proofErr w:type="spellEnd"/>
      <w:r w:rsidRPr="008D1192">
        <w:rPr>
          <w:rFonts w:asciiTheme="minorHAnsi" w:hAnsiTheme="minorHAnsi" w:cstheme="minorHAnsi"/>
        </w:rPr>
        <w:t xml:space="preserve"> desfășurate în sectoarele excluse nu beneficiază de ajutoarele regionale acordate în baza prezentei scheme de finanțare.</w:t>
      </w:r>
    </w:p>
    <w:p w14:paraId="6B836488" w14:textId="77777777" w:rsidR="00400C56" w:rsidRPr="008D1192" w:rsidRDefault="00400C56" w:rsidP="00400C56">
      <w:pPr>
        <w:spacing w:after="0"/>
        <w:rPr>
          <w:rFonts w:asciiTheme="minorHAnsi" w:hAnsiTheme="minorHAnsi" w:cstheme="minorHAnsi"/>
        </w:rPr>
      </w:pPr>
    </w:p>
    <w:p w14:paraId="434AABED" w14:textId="77777777" w:rsidR="002E6B3D" w:rsidRPr="008D1192" w:rsidRDefault="002E6B3D" w:rsidP="002E6B3D">
      <w:pPr>
        <w:spacing w:before="0" w:after="0"/>
        <w:rPr>
          <w:rFonts w:asciiTheme="minorHAnsi" w:hAnsiTheme="minorHAnsi" w:cstheme="minorHAnsi"/>
        </w:rPr>
      </w:pPr>
    </w:p>
    <w:p w14:paraId="7384DBA6" w14:textId="11D9B5DE" w:rsidR="00A948BF" w:rsidRPr="008D1192" w:rsidRDefault="00400C56" w:rsidP="00FF4273">
      <w:pPr>
        <w:pStyle w:val="Heading1"/>
        <w:numPr>
          <w:ilvl w:val="0"/>
          <w:numId w:val="0"/>
        </w:numPr>
        <w:ind w:left="720"/>
        <w:rPr>
          <w:rFonts w:asciiTheme="minorHAnsi" w:hAnsiTheme="minorHAnsi" w:cstheme="minorHAnsi"/>
          <w:sz w:val="22"/>
          <w:szCs w:val="22"/>
        </w:rPr>
      </w:pPr>
      <w:bookmarkStart w:id="3" w:name="_Toc142334806"/>
      <w:r w:rsidRPr="008D1192">
        <w:rPr>
          <w:rFonts w:asciiTheme="minorHAnsi" w:hAnsiTheme="minorHAnsi" w:cstheme="minorHAnsi"/>
          <w:sz w:val="22"/>
          <w:szCs w:val="22"/>
        </w:rPr>
        <w:lastRenderedPageBreak/>
        <w:t xml:space="preserve">D. Condiții legate de domeniile de excludere din Regulamentul UE nr. </w:t>
      </w:r>
      <w:r w:rsidR="00A948BF" w:rsidRPr="008D1192">
        <w:rPr>
          <w:rFonts w:asciiTheme="minorHAnsi" w:hAnsiTheme="minorHAnsi" w:cstheme="minorHAnsi"/>
          <w:sz w:val="22"/>
          <w:szCs w:val="22"/>
        </w:rPr>
        <w:t>1407/2013, cu modificările și completările ulterioare</w:t>
      </w:r>
      <w:r w:rsidRPr="008D1192">
        <w:rPr>
          <w:rFonts w:asciiTheme="minorHAnsi" w:hAnsiTheme="minorHAnsi" w:cstheme="minorHAnsi"/>
          <w:sz w:val="22"/>
          <w:szCs w:val="22"/>
        </w:rPr>
        <w:t xml:space="preserve"> (Regulamentul de </w:t>
      </w:r>
      <w:proofErr w:type="spellStart"/>
      <w:r w:rsidRPr="008D1192">
        <w:rPr>
          <w:rFonts w:asciiTheme="minorHAnsi" w:hAnsiTheme="minorHAnsi" w:cstheme="minorHAnsi"/>
          <w:sz w:val="22"/>
          <w:szCs w:val="22"/>
        </w:rPr>
        <w:t>minimis</w:t>
      </w:r>
      <w:proofErr w:type="spellEnd"/>
      <w:r w:rsidRPr="008D1192">
        <w:rPr>
          <w:rFonts w:asciiTheme="minorHAnsi" w:hAnsiTheme="minorHAnsi" w:cstheme="minorHAnsi"/>
          <w:sz w:val="22"/>
          <w:szCs w:val="22"/>
        </w:rPr>
        <w:t>)</w:t>
      </w:r>
      <w:r w:rsidR="00A948BF" w:rsidRPr="008D1192">
        <w:rPr>
          <w:rFonts w:asciiTheme="minorHAnsi" w:hAnsiTheme="minorHAnsi" w:cstheme="minorHAnsi"/>
          <w:sz w:val="22"/>
          <w:szCs w:val="22"/>
        </w:rPr>
        <w:t>.</w:t>
      </w:r>
      <w:bookmarkEnd w:id="3"/>
    </w:p>
    <w:p w14:paraId="596BA68F" w14:textId="77777777" w:rsidR="00400C56" w:rsidRPr="008D1192" w:rsidRDefault="00400C56" w:rsidP="00400C56">
      <w:pPr>
        <w:spacing w:after="0"/>
        <w:ind w:left="0"/>
        <w:rPr>
          <w:rFonts w:asciiTheme="minorHAnsi" w:hAnsiTheme="minorHAnsi" w:cstheme="minorHAnsi"/>
        </w:rPr>
      </w:pPr>
      <w:r w:rsidRPr="008D1192">
        <w:rPr>
          <w:rFonts w:asciiTheme="minorHAnsi" w:hAnsiTheme="minorHAnsi" w:cstheme="minorHAnsi"/>
        </w:rPr>
        <w:t xml:space="preserve">Ajutorul de </w:t>
      </w:r>
      <w:proofErr w:type="spellStart"/>
      <w:r w:rsidRPr="008D1192">
        <w:rPr>
          <w:rFonts w:asciiTheme="minorHAnsi" w:hAnsiTheme="minorHAnsi" w:cstheme="minorHAnsi"/>
        </w:rPr>
        <w:t>minimis</w:t>
      </w:r>
      <w:proofErr w:type="spellEnd"/>
      <w:r w:rsidRPr="008D1192">
        <w:rPr>
          <w:rFonts w:asciiTheme="minorHAnsi" w:hAnsiTheme="minorHAnsi" w:cstheme="minorHAnsi"/>
        </w:rPr>
        <w:t xml:space="preserve"> nu se acordă întreprinderilor care își desfășoară activitatea în:</w:t>
      </w:r>
    </w:p>
    <w:p w14:paraId="11E19E1C" w14:textId="77777777" w:rsidR="00400C56" w:rsidRPr="008D1192" w:rsidRDefault="00400C56" w:rsidP="00400C56">
      <w:pPr>
        <w:pStyle w:val="ListParagraph"/>
        <w:numPr>
          <w:ilvl w:val="0"/>
          <w:numId w:val="11"/>
        </w:numPr>
        <w:spacing w:before="0" w:after="0"/>
        <w:rPr>
          <w:rFonts w:asciiTheme="minorHAnsi" w:hAnsiTheme="minorHAnsi" w:cstheme="minorHAnsi"/>
        </w:rPr>
      </w:pPr>
      <w:r w:rsidRPr="008D1192">
        <w:rPr>
          <w:rFonts w:asciiTheme="minorHAnsi" w:hAnsiTheme="minorHAnsi" w:cstheme="minorHAnsi"/>
        </w:rPr>
        <w:t xml:space="preserve">sectoarele pescuitului și acvaculturii, astfel cum sunt reglementate de Regulamentul (CE) nr. 104/2000 al Consiliului </w:t>
      </w:r>
    </w:p>
    <w:p w14:paraId="177B49B4" w14:textId="77777777" w:rsidR="00400C56" w:rsidRPr="008D1192" w:rsidRDefault="00400C56" w:rsidP="00400C56">
      <w:pPr>
        <w:pStyle w:val="ListParagraph"/>
        <w:numPr>
          <w:ilvl w:val="0"/>
          <w:numId w:val="11"/>
        </w:numPr>
        <w:spacing w:before="0" w:after="0"/>
        <w:rPr>
          <w:rFonts w:asciiTheme="minorHAnsi" w:hAnsiTheme="minorHAnsi" w:cstheme="minorHAnsi"/>
        </w:rPr>
      </w:pPr>
      <w:r w:rsidRPr="008D1192">
        <w:rPr>
          <w:rFonts w:asciiTheme="minorHAnsi" w:hAnsiTheme="minorHAnsi" w:cstheme="minorHAnsi"/>
        </w:rPr>
        <w:t xml:space="preserve">în domeniul producției primare de produse agricole; </w:t>
      </w:r>
    </w:p>
    <w:p w14:paraId="6FC73456" w14:textId="77777777" w:rsidR="00400C56" w:rsidRPr="008D1192" w:rsidRDefault="00400C56" w:rsidP="00400C56">
      <w:pPr>
        <w:pStyle w:val="ListParagraph"/>
        <w:numPr>
          <w:ilvl w:val="0"/>
          <w:numId w:val="11"/>
        </w:numPr>
        <w:spacing w:before="0" w:after="0"/>
        <w:rPr>
          <w:rFonts w:asciiTheme="minorHAnsi" w:hAnsiTheme="minorHAnsi" w:cstheme="minorHAnsi"/>
        </w:rPr>
      </w:pPr>
      <w:r w:rsidRPr="008D1192">
        <w:rPr>
          <w:rFonts w:asciiTheme="minorHAnsi" w:hAnsiTheme="minorHAnsi" w:cstheme="minorHAnsi"/>
        </w:rPr>
        <w:t xml:space="preserve">în sectorul prelucrării și comercializării produselor agricole, în următoarele cazuri: </w:t>
      </w:r>
    </w:p>
    <w:p w14:paraId="482FBF0D" w14:textId="77777777" w:rsidR="00400C56" w:rsidRPr="008D1192" w:rsidRDefault="00400C56" w:rsidP="00400C56">
      <w:pPr>
        <w:pStyle w:val="ListParagraph"/>
        <w:numPr>
          <w:ilvl w:val="0"/>
          <w:numId w:val="12"/>
        </w:numPr>
        <w:spacing w:before="0" w:after="0"/>
        <w:ind w:left="2070"/>
        <w:rPr>
          <w:rFonts w:asciiTheme="minorHAnsi" w:hAnsiTheme="minorHAnsi" w:cstheme="minorHAnsi"/>
        </w:rPr>
      </w:pPr>
      <w:r w:rsidRPr="008D1192">
        <w:rPr>
          <w:rFonts w:asciiTheme="minorHAnsi" w:hAnsiTheme="minorHAnsi" w:cstheme="minorHAnsi"/>
        </w:rPr>
        <w:t xml:space="preserve">atunci când valoarea ajutoarelor este stabilită pe baza prețului sau a cantității unor astfel de produse achiziționate de la producători primari sau introduse pe piață de întreprinderile respective; </w:t>
      </w:r>
    </w:p>
    <w:p w14:paraId="6AC140A5" w14:textId="77777777" w:rsidR="00400C56" w:rsidRPr="008D1192" w:rsidRDefault="00400C56" w:rsidP="00400C56">
      <w:pPr>
        <w:pStyle w:val="ListParagraph"/>
        <w:numPr>
          <w:ilvl w:val="0"/>
          <w:numId w:val="12"/>
        </w:numPr>
        <w:spacing w:before="0" w:after="0"/>
        <w:ind w:left="2070"/>
        <w:rPr>
          <w:rFonts w:asciiTheme="minorHAnsi" w:hAnsiTheme="minorHAnsi" w:cstheme="minorHAnsi"/>
        </w:rPr>
      </w:pPr>
      <w:r w:rsidRPr="008D1192">
        <w:rPr>
          <w:rFonts w:asciiTheme="minorHAnsi" w:hAnsiTheme="minorHAnsi" w:cstheme="minorHAnsi"/>
        </w:rPr>
        <w:t xml:space="preserve">atunci când ajutoarele sunt condiționate de transferarea lor parțială sau integrală către producătorii primari; </w:t>
      </w:r>
    </w:p>
    <w:p w14:paraId="12D9DB80" w14:textId="77777777" w:rsidR="00400C56" w:rsidRPr="008D1192" w:rsidRDefault="00400C56" w:rsidP="00400C56">
      <w:pPr>
        <w:pStyle w:val="ListParagraph"/>
        <w:numPr>
          <w:ilvl w:val="0"/>
          <w:numId w:val="11"/>
        </w:numPr>
        <w:spacing w:before="0" w:after="0"/>
        <w:rPr>
          <w:rFonts w:asciiTheme="minorHAnsi" w:hAnsiTheme="minorHAnsi" w:cstheme="minorHAnsi"/>
        </w:rPr>
      </w:pPr>
      <w:r w:rsidRPr="008D1192">
        <w:rPr>
          <w:rFonts w:asciiTheme="minorHAnsi" w:hAnsiTheme="minorHAnsi" w:cstheme="minorHAnsi"/>
        </w:rPr>
        <w:t xml:space="preserve">ajutoarelor destinate activităților legate de export către țări terțe sau către alte state membre, respectiv ajutoarelor direct legate de cantitățile exportate, ajutoarelor destinate înființării și funcționării unei rețele de distribuție sau destinate altor cheltuieli curente legate de activitatea de export; </w:t>
      </w:r>
    </w:p>
    <w:p w14:paraId="4AC68402" w14:textId="77777777" w:rsidR="00400C56" w:rsidRPr="008D1192" w:rsidRDefault="00400C56" w:rsidP="00400C56">
      <w:pPr>
        <w:pStyle w:val="ListParagraph"/>
        <w:numPr>
          <w:ilvl w:val="0"/>
          <w:numId w:val="11"/>
        </w:numPr>
        <w:spacing w:before="0" w:after="0"/>
        <w:rPr>
          <w:rFonts w:asciiTheme="minorHAnsi" w:hAnsiTheme="minorHAnsi" w:cstheme="minorHAnsi"/>
        </w:rPr>
      </w:pPr>
      <w:r w:rsidRPr="008D1192">
        <w:rPr>
          <w:rFonts w:asciiTheme="minorHAnsi" w:hAnsiTheme="minorHAnsi" w:cstheme="minorHAnsi"/>
        </w:rPr>
        <w:t xml:space="preserve">ajutoarelor condiționate de utilizarea preferențială a produselor naționale față de produsele importate. </w:t>
      </w:r>
    </w:p>
    <w:p w14:paraId="236EE365" w14:textId="77777777" w:rsidR="00400C56" w:rsidRPr="008D1192" w:rsidRDefault="00400C56" w:rsidP="00400C56">
      <w:pPr>
        <w:spacing w:after="0"/>
        <w:ind w:left="0"/>
        <w:rPr>
          <w:rFonts w:asciiTheme="minorHAnsi" w:hAnsiTheme="minorHAnsi" w:cstheme="minorHAnsi"/>
        </w:rPr>
      </w:pPr>
      <w:r w:rsidRPr="008D1192">
        <w:rPr>
          <w:rFonts w:asciiTheme="minorHAnsi" w:hAnsiTheme="minorHAnsi" w:cstheme="minorHAnsi"/>
        </w:rPr>
        <w:t xml:space="preserve">În cazul în care o întreprindere își desfășoară activitatea atât în sectoarele mai sus menționate cât și în unul sau mai multe sectoare sau domenii de activitate eligibile pentru ajutorul de </w:t>
      </w:r>
      <w:proofErr w:type="spellStart"/>
      <w:r w:rsidRPr="008D1192">
        <w:rPr>
          <w:rFonts w:asciiTheme="minorHAnsi" w:hAnsiTheme="minorHAnsi" w:cstheme="minorHAnsi"/>
        </w:rPr>
        <w:t>minimis</w:t>
      </w:r>
      <w:proofErr w:type="spellEnd"/>
      <w:r w:rsidRPr="008D1192">
        <w:rPr>
          <w:rFonts w:asciiTheme="minorHAnsi" w:hAnsiTheme="minorHAnsi" w:cstheme="minorHAnsi"/>
        </w:rPr>
        <w:t xml:space="preserve">, solicitantul trebuie să se asigure, prin mijloace corespunzătoare, precum separarea activităților sau o distincție între costuri, că activitățile desfășurate în sectoarele excluse din domeniul de aplicare al regulamentului de </w:t>
      </w:r>
      <w:proofErr w:type="spellStart"/>
      <w:r w:rsidRPr="008D1192">
        <w:rPr>
          <w:rFonts w:asciiTheme="minorHAnsi" w:hAnsiTheme="minorHAnsi" w:cstheme="minorHAnsi"/>
        </w:rPr>
        <w:t>minimis</w:t>
      </w:r>
      <w:proofErr w:type="spellEnd"/>
      <w:r w:rsidRPr="008D1192">
        <w:rPr>
          <w:rFonts w:asciiTheme="minorHAnsi" w:hAnsiTheme="minorHAnsi" w:cstheme="minorHAnsi"/>
        </w:rPr>
        <w:t xml:space="preserve"> nu beneficiază de ajutor acordat în conformitate cu prevederile prezentului ghid. </w:t>
      </w:r>
    </w:p>
    <w:p w14:paraId="4E75FA36" w14:textId="77777777" w:rsidR="00A948BF" w:rsidRPr="008D1192" w:rsidRDefault="00A948BF" w:rsidP="00A948BF">
      <w:pPr>
        <w:spacing w:before="0" w:after="0"/>
        <w:rPr>
          <w:rFonts w:asciiTheme="minorHAnsi" w:hAnsiTheme="minorHAnsi" w:cstheme="minorHAnsi"/>
        </w:rPr>
      </w:pPr>
    </w:p>
    <w:p w14:paraId="4BADAFA2" w14:textId="022C521D" w:rsidR="00400C56" w:rsidRPr="008D1192" w:rsidRDefault="00FF4273" w:rsidP="00FF4273">
      <w:pPr>
        <w:pStyle w:val="Heading1"/>
        <w:numPr>
          <w:ilvl w:val="0"/>
          <w:numId w:val="0"/>
        </w:numPr>
        <w:ind w:left="720"/>
        <w:rPr>
          <w:rFonts w:asciiTheme="minorHAnsi" w:hAnsiTheme="minorHAnsi" w:cstheme="minorHAnsi"/>
          <w:sz w:val="22"/>
          <w:szCs w:val="22"/>
        </w:rPr>
      </w:pPr>
      <w:bookmarkStart w:id="4" w:name="_Toc142334807"/>
      <w:r w:rsidRPr="008D1192">
        <w:rPr>
          <w:rFonts w:asciiTheme="minorHAnsi" w:hAnsiTheme="minorHAnsi" w:cstheme="minorHAnsi"/>
          <w:sz w:val="22"/>
          <w:szCs w:val="22"/>
        </w:rPr>
        <w:t xml:space="preserve">E. </w:t>
      </w:r>
      <w:r w:rsidR="00400C56" w:rsidRPr="008D1192">
        <w:rPr>
          <w:rFonts w:asciiTheme="minorHAnsi" w:hAnsiTheme="minorHAnsi" w:cstheme="minorHAnsi"/>
          <w:sz w:val="22"/>
          <w:szCs w:val="22"/>
        </w:rPr>
        <w:t xml:space="preserve"> Condiții legate de aplicarea DNS</w:t>
      </w:r>
      <w:r w:rsidR="00137442">
        <w:rPr>
          <w:rFonts w:asciiTheme="minorHAnsi" w:hAnsiTheme="minorHAnsi" w:cstheme="minorHAnsi"/>
          <w:sz w:val="22"/>
          <w:szCs w:val="22"/>
        </w:rPr>
        <w:t>H</w:t>
      </w:r>
      <w:r w:rsidR="00400C56" w:rsidRPr="008D1192">
        <w:rPr>
          <w:rFonts w:asciiTheme="minorHAnsi" w:hAnsiTheme="minorHAnsi" w:cstheme="minorHAnsi"/>
          <w:sz w:val="22"/>
          <w:szCs w:val="22"/>
        </w:rPr>
        <w:t xml:space="preserve"> în conformitate cu </w:t>
      </w:r>
      <w:r w:rsidRPr="008D1192">
        <w:rPr>
          <w:rFonts w:asciiTheme="minorHAnsi" w:hAnsiTheme="minorHAnsi" w:cstheme="minorHAnsi"/>
          <w:sz w:val="22"/>
          <w:szCs w:val="22"/>
        </w:rPr>
        <w:t>art.</w:t>
      </w:r>
      <w:r w:rsidR="00400C56" w:rsidRPr="008D1192">
        <w:rPr>
          <w:rFonts w:asciiTheme="minorHAnsi" w:hAnsiTheme="minorHAnsi" w:cstheme="minorHAnsi"/>
          <w:sz w:val="22"/>
          <w:szCs w:val="22"/>
        </w:rPr>
        <w:t xml:space="preserve"> 17 din Regulamentul (UE) </w:t>
      </w:r>
      <w:r w:rsidR="00137442">
        <w:rPr>
          <w:rFonts w:asciiTheme="minorHAnsi" w:hAnsiTheme="minorHAnsi" w:cstheme="minorHAnsi"/>
          <w:sz w:val="22"/>
          <w:szCs w:val="22"/>
        </w:rPr>
        <w:t>852/2020</w:t>
      </w:r>
      <w:r w:rsidRPr="008D1192">
        <w:rPr>
          <w:rFonts w:asciiTheme="minorHAnsi" w:hAnsiTheme="minorHAnsi" w:cstheme="minorHAnsi"/>
          <w:sz w:val="22"/>
          <w:szCs w:val="22"/>
        </w:rPr>
        <w:t>, cu</w:t>
      </w:r>
      <w:r w:rsidR="00400C56" w:rsidRPr="008D1192">
        <w:rPr>
          <w:rFonts w:asciiTheme="minorHAnsi" w:hAnsiTheme="minorHAnsi" w:cstheme="minorHAnsi"/>
          <w:sz w:val="22"/>
          <w:szCs w:val="22"/>
        </w:rPr>
        <w:t xml:space="preserve"> acte delegate subsecvente regulamentului și respectiv </w:t>
      </w:r>
      <w:r w:rsidRPr="008D1192">
        <w:rPr>
          <w:rFonts w:asciiTheme="minorHAnsi" w:hAnsiTheme="minorHAnsi" w:cstheme="minorHAnsi"/>
          <w:sz w:val="22"/>
          <w:szCs w:val="22"/>
        </w:rPr>
        <w:t xml:space="preserve">cu </w:t>
      </w:r>
      <w:r w:rsidR="00400C56" w:rsidRPr="008D1192">
        <w:rPr>
          <w:rFonts w:asciiTheme="minorHAnsi" w:hAnsiTheme="minorHAnsi" w:cstheme="minorHAnsi"/>
          <w:sz w:val="22"/>
          <w:szCs w:val="22"/>
        </w:rPr>
        <w:t>criteriil</w:t>
      </w:r>
      <w:r w:rsidRPr="008D1192">
        <w:rPr>
          <w:rFonts w:asciiTheme="minorHAnsi" w:hAnsiTheme="minorHAnsi" w:cstheme="minorHAnsi"/>
          <w:sz w:val="22"/>
          <w:szCs w:val="22"/>
        </w:rPr>
        <w:t>e</w:t>
      </w:r>
      <w:r w:rsidR="00400C56" w:rsidRPr="008D1192">
        <w:rPr>
          <w:rFonts w:asciiTheme="minorHAnsi" w:hAnsiTheme="minorHAnsi" w:cstheme="minorHAnsi"/>
          <w:sz w:val="22"/>
          <w:szCs w:val="22"/>
        </w:rPr>
        <w:t xml:space="preserve"> prevăzute în Comunicarea Comisiei - Orientări tehnice privind aplicarea principiului de „a nu aduce prejudicii semnificative” în temeiul Regulamentului privind Mecanismul de redresare și reziliență (2021/C58/01).</w:t>
      </w:r>
      <w:bookmarkEnd w:id="4"/>
    </w:p>
    <w:p w14:paraId="177BE864" w14:textId="77777777" w:rsidR="00400C56" w:rsidRPr="008D1192" w:rsidRDefault="00400C56" w:rsidP="00400C56">
      <w:pPr>
        <w:spacing w:before="0" w:after="0"/>
        <w:ind w:left="0"/>
        <w:rPr>
          <w:rFonts w:asciiTheme="minorHAnsi" w:hAnsiTheme="minorHAnsi" w:cstheme="minorHAnsi"/>
          <w:b/>
          <w:bCs/>
          <w:color w:val="0070C0"/>
        </w:rPr>
      </w:pPr>
    </w:p>
    <w:p w14:paraId="378DC8F0" w14:textId="13FC36D7" w:rsidR="00400C56" w:rsidRPr="008D1192" w:rsidRDefault="00400C56" w:rsidP="00400C56">
      <w:pPr>
        <w:spacing w:before="0" w:after="0"/>
        <w:ind w:left="0"/>
        <w:rPr>
          <w:rFonts w:asciiTheme="minorHAnsi" w:hAnsiTheme="minorHAnsi" w:cstheme="minorHAnsi"/>
          <w:caps/>
        </w:rPr>
      </w:pPr>
      <w:r w:rsidRPr="008D1192">
        <w:rPr>
          <w:rFonts w:asciiTheme="minorHAnsi" w:hAnsiTheme="minorHAnsi" w:cstheme="minorHAnsi"/>
        </w:rPr>
        <w:t xml:space="preserve">Activitățile proiectului și/sau echipamentele achiziționate, cu excepțiile menționate nu vor fi utilizate direct/indirect pentru activități în domeniile de mai jos: </w:t>
      </w:r>
    </w:p>
    <w:p w14:paraId="55626B50" w14:textId="77777777" w:rsidR="00400C56" w:rsidRPr="008D1192" w:rsidRDefault="00400C56" w:rsidP="00400C56">
      <w:pPr>
        <w:pStyle w:val="ListParagraph"/>
        <w:numPr>
          <w:ilvl w:val="0"/>
          <w:numId w:val="13"/>
        </w:numPr>
        <w:spacing w:before="0" w:after="0"/>
        <w:ind w:left="2070"/>
        <w:rPr>
          <w:rFonts w:asciiTheme="minorHAnsi" w:hAnsiTheme="minorHAnsi" w:cstheme="minorHAnsi"/>
          <w:b/>
          <w:color w:val="0070C0"/>
        </w:rPr>
      </w:pPr>
      <w:r w:rsidRPr="008D1192">
        <w:rPr>
          <w:rFonts w:asciiTheme="minorHAnsi" w:hAnsiTheme="minorHAnsi" w:cstheme="minorHAnsi"/>
        </w:rPr>
        <w:t xml:space="preserve">dezafectarea sau construirea de centrale nucleare; </w:t>
      </w:r>
    </w:p>
    <w:p w14:paraId="3BBBCAE2" w14:textId="77777777" w:rsidR="00400C56" w:rsidRPr="008D1192" w:rsidRDefault="00400C56" w:rsidP="00400C56">
      <w:pPr>
        <w:pStyle w:val="ListParagraph"/>
        <w:numPr>
          <w:ilvl w:val="0"/>
          <w:numId w:val="13"/>
        </w:numPr>
        <w:spacing w:before="0" w:after="0"/>
        <w:ind w:left="2070"/>
        <w:rPr>
          <w:rFonts w:asciiTheme="minorHAnsi" w:hAnsiTheme="minorHAnsi" w:cstheme="minorHAnsi"/>
          <w:b/>
          <w:color w:val="0070C0"/>
        </w:rPr>
      </w:pPr>
      <w:r w:rsidRPr="008D1192">
        <w:rPr>
          <w:rFonts w:asciiTheme="minorHAnsi" w:hAnsiTheme="minorHAnsi" w:cstheme="minorHAnsi"/>
        </w:rPr>
        <w:t xml:space="preserve">investițiile destinate reducerii emisiilor de gaze cu efect de seră generate de activitățile enumerate în anexa I la Directiva 2003/87/CE; </w:t>
      </w:r>
    </w:p>
    <w:p w14:paraId="2E630C61" w14:textId="77777777" w:rsidR="00400C56" w:rsidRPr="008D1192" w:rsidRDefault="00400C56" w:rsidP="00400C56">
      <w:pPr>
        <w:pStyle w:val="ListParagraph"/>
        <w:numPr>
          <w:ilvl w:val="0"/>
          <w:numId w:val="13"/>
        </w:numPr>
        <w:spacing w:before="0" w:after="0"/>
        <w:ind w:left="2070"/>
        <w:rPr>
          <w:rFonts w:asciiTheme="minorHAnsi" w:hAnsiTheme="minorHAnsi" w:cstheme="minorHAnsi"/>
          <w:b/>
          <w:color w:val="0070C0"/>
        </w:rPr>
      </w:pPr>
      <w:r w:rsidRPr="008D1192">
        <w:rPr>
          <w:rFonts w:asciiTheme="minorHAnsi" w:hAnsiTheme="minorHAnsi" w:cstheme="minorHAnsi"/>
        </w:rPr>
        <w:t>fabricarea, prelucrarea și comercializarea tutunului și a produselor din tutun;</w:t>
      </w:r>
    </w:p>
    <w:p w14:paraId="28DEBBA2" w14:textId="77777777" w:rsidR="00400C56" w:rsidRPr="008D1192" w:rsidRDefault="00400C56" w:rsidP="00400C56">
      <w:pPr>
        <w:pStyle w:val="ListParagraph"/>
        <w:numPr>
          <w:ilvl w:val="0"/>
          <w:numId w:val="13"/>
        </w:numPr>
        <w:spacing w:before="0" w:after="0"/>
        <w:ind w:left="2070"/>
        <w:rPr>
          <w:rFonts w:asciiTheme="minorHAnsi" w:hAnsiTheme="minorHAnsi" w:cstheme="minorHAnsi"/>
          <w:b/>
          <w:color w:val="0070C0"/>
        </w:rPr>
      </w:pPr>
      <w:r w:rsidRPr="008D1192">
        <w:rPr>
          <w:rFonts w:asciiTheme="minorHAnsi" w:hAnsiTheme="minorHAnsi" w:cstheme="minorHAnsi"/>
        </w:rPr>
        <w:t xml:space="preserve"> investițiile în infrastructura aeroportuară, </w:t>
      </w:r>
    </w:p>
    <w:p w14:paraId="03D0F9E4" w14:textId="77777777" w:rsidR="00400C56" w:rsidRPr="008D1192" w:rsidRDefault="00400C56" w:rsidP="00400C56">
      <w:pPr>
        <w:pStyle w:val="ListParagraph"/>
        <w:numPr>
          <w:ilvl w:val="0"/>
          <w:numId w:val="13"/>
        </w:numPr>
        <w:spacing w:before="0" w:after="0"/>
        <w:ind w:left="2070"/>
        <w:rPr>
          <w:rFonts w:asciiTheme="minorHAnsi" w:hAnsiTheme="minorHAnsi" w:cstheme="minorHAnsi"/>
          <w:b/>
          <w:color w:val="0070C0"/>
        </w:rPr>
      </w:pPr>
      <w:r w:rsidRPr="008D1192">
        <w:rPr>
          <w:rFonts w:asciiTheme="minorHAnsi" w:hAnsiTheme="minorHAnsi" w:cstheme="minorHAnsi"/>
        </w:rPr>
        <w:t xml:space="preserve">investițiile în eliminarea deșeurilor în depozite de deșeuri, exceptând: </w:t>
      </w:r>
    </w:p>
    <w:p w14:paraId="030F509C" w14:textId="77777777" w:rsidR="00400C56" w:rsidRPr="008D1192" w:rsidRDefault="00400C56" w:rsidP="00400C56">
      <w:pPr>
        <w:pStyle w:val="ListParagraph"/>
        <w:numPr>
          <w:ilvl w:val="2"/>
          <w:numId w:val="13"/>
        </w:numPr>
        <w:spacing w:before="0" w:after="0"/>
        <w:ind w:left="2700"/>
        <w:rPr>
          <w:rFonts w:asciiTheme="minorHAnsi" w:hAnsiTheme="minorHAnsi" w:cstheme="minorHAnsi"/>
          <w:b/>
          <w:color w:val="0070C0"/>
        </w:rPr>
      </w:pPr>
      <w:r w:rsidRPr="008D1192">
        <w:rPr>
          <w:rFonts w:asciiTheme="minorHAnsi" w:hAnsiTheme="minorHAnsi" w:cstheme="minorHAnsi"/>
        </w:rPr>
        <w:lastRenderedPageBreak/>
        <w:t xml:space="preserve">investițiile destinate regiunilor </w:t>
      </w:r>
      <w:proofErr w:type="spellStart"/>
      <w:r w:rsidRPr="008D1192">
        <w:rPr>
          <w:rFonts w:asciiTheme="minorHAnsi" w:hAnsiTheme="minorHAnsi" w:cstheme="minorHAnsi"/>
        </w:rPr>
        <w:t>ultraperiferice</w:t>
      </w:r>
      <w:proofErr w:type="spellEnd"/>
      <w:r w:rsidRPr="008D1192">
        <w:rPr>
          <w:rFonts w:asciiTheme="minorHAnsi" w:hAnsiTheme="minorHAnsi" w:cstheme="minorHAnsi"/>
        </w:rPr>
        <w:t xml:space="preserve">, numai în cazuri justificate în mod corespunzător; sau </w:t>
      </w:r>
    </w:p>
    <w:p w14:paraId="7D942DA9" w14:textId="77777777" w:rsidR="00400C56" w:rsidRPr="008D1192" w:rsidRDefault="00400C56" w:rsidP="00400C56">
      <w:pPr>
        <w:pStyle w:val="ListParagraph"/>
        <w:numPr>
          <w:ilvl w:val="2"/>
          <w:numId w:val="13"/>
        </w:numPr>
        <w:spacing w:before="0" w:after="0"/>
        <w:ind w:left="2700"/>
        <w:rPr>
          <w:rFonts w:asciiTheme="minorHAnsi" w:hAnsiTheme="minorHAnsi" w:cstheme="minorHAnsi"/>
          <w:b/>
          <w:color w:val="0070C0"/>
        </w:rPr>
      </w:pPr>
      <w:r w:rsidRPr="008D1192">
        <w:rPr>
          <w:rFonts w:asciiTheme="minorHAnsi" w:hAnsiTheme="minorHAnsi" w:cstheme="minorHAnsi"/>
        </w:rPr>
        <w:t xml:space="preserve">investițiile pentru dezafectarea, reconversia sau securizarea depozitelor de deșeuri existente, cu condiția ca investițiile respective să nu le sporească capacitatea; </w:t>
      </w:r>
    </w:p>
    <w:p w14:paraId="38A8A70E" w14:textId="77777777" w:rsidR="00400C56" w:rsidRPr="008D1192" w:rsidRDefault="00400C56" w:rsidP="00400C56">
      <w:pPr>
        <w:pStyle w:val="ListParagraph"/>
        <w:numPr>
          <w:ilvl w:val="0"/>
          <w:numId w:val="13"/>
        </w:numPr>
        <w:spacing w:before="0" w:after="0"/>
        <w:ind w:left="2070"/>
        <w:rPr>
          <w:rFonts w:asciiTheme="minorHAnsi" w:hAnsiTheme="minorHAnsi" w:cstheme="minorHAnsi"/>
          <w:b/>
          <w:color w:val="0070C0"/>
        </w:rPr>
      </w:pPr>
      <w:r w:rsidRPr="008D1192">
        <w:rPr>
          <w:rFonts w:asciiTheme="minorHAnsi" w:hAnsiTheme="minorHAnsi" w:cstheme="minorHAnsi"/>
        </w:rPr>
        <w:t xml:space="preserve">investițiile care sporesc capacitatea instalațiilor de tratare a deșeurilor reziduale, exceptând investițiile în tehnologii de recuperare a materialelor din deșeurile reziduale în scopul economiei circulare; </w:t>
      </w:r>
    </w:p>
    <w:p w14:paraId="391D9BD4" w14:textId="77777777" w:rsidR="00400C56" w:rsidRPr="008D1192" w:rsidRDefault="00400C56" w:rsidP="00400C56">
      <w:pPr>
        <w:pStyle w:val="ListParagraph"/>
        <w:numPr>
          <w:ilvl w:val="0"/>
          <w:numId w:val="13"/>
        </w:numPr>
        <w:spacing w:before="0" w:after="0"/>
        <w:ind w:left="2070"/>
        <w:rPr>
          <w:rFonts w:asciiTheme="minorHAnsi" w:hAnsiTheme="minorHAnsi" w:cstheme="minorHAnsi"/>
          <w:b/>
          <w:color w:val="0070C0"/>
        </w:rPr>
      </w:pPr>
      <w:r w:rsidRPr="008D1192">
        <w:rPr>
          <w:rFonts w:asciiTheme="minorHAnsi" w:hAnsiTheme="minorHAnsi" w:cstheme="minorHAnsi"/>
        </w:rPr>
        <w:t xml:space="preserve">investițiile legate de producția, prelucrarea, transportul, distribuția, stocarea sau arderea combustibililor fosili, exceptând: </w:t>
      </w:r>
    </w:p>
    <w:p w14:paraId="3FEFE264" w14:textId="77777777" w:rsidR="00400C56" w:rsidRPr="008D1192" w:rsidRDefault="00400C56" w:rsidP="00400C56">
      <w:pPr>
        <w:pStyle w:val="ListParagraph"/>
        <w:numPr>
          <w:ilvl w:val="2"/>
          <w:numId w:val="13"/>
        </w:numPr>
        <w:spacing w:before="0" w:after="0"/>
        <w:ind w:left="3420" w:hanging="270"/>
        <w:rPr>
          <w:rFonts w:asciiTheme="minorHAnsi" w:hAnsiTheme="minorHAnsi" w:cstheme="minorHAnsi"/>
        </w:rPr>
      </w:pPr>
      <w:r w:rsidRPr="008D1192">
        <w:rPr>
          <w:rFonts w:asciiTheme="minorHAnsi" w:hAnsiTheme="minorHAnsi" w:cstheme="minorHAnsi"/>
        </w:rPr>
        <w:t xml:space="preserve">investițiile în înlocuirea sistemelor de încălzire cu ardere pe bază de combustibili fosili solizi, și anume cărbune, turbă, lignit, șisturi bituminoase, cu sisteme de încălzire cu ardere pe bază de gaz, în scopul de a optimiza sistemele de încălzire și răcire centralizată pentru a le aduce la stadiul de „sisteme eficiente de termoficare și răcire centralizată”, astfel cum sunt definite la articolul 2 punctul 41 din Directiva 2012/27/UE; de a optimiza centralele de producere combinată a energiei electrice și a energiei termice pentru a le aduce la stadiul de „cogenerare de înaltă eficiență”, astfel cum este definită la articolul 2 punctul 34 din Directiva 2012/27/UE;  de a investi în cazane și sisteme de încălzire cu ardere pe bază de gaze naturale pentru locuințe și clădiri, care înlocuiesc instalațiile pe bază de cărbune, turbă, lignit sau șisturi bituminoase; </w:t>
      </w:r>
    </w:p>
    <w:p w14:paraId="70CCF004" w14:textId="77777777" w:rsidR="00400C56" w:rsidRPr="008D1192" w:rsidRDefault="00400C56" w:rsidP="00400C56">
      <w:pPr>
        <w:pStyle w:val="ListParagraph"/>
        <w:numPr>
          <w:ilvl w:val="2"/>
          <w:numId w:val="13"/>
        </w:numPr>
        <w:spacing w:before="0" w:after="0"/>
        <w:ind w:left="3420" w:hanging="270"/>
        <w:rPr>
          <w:rFonts w:asciiTheme="minorHAnsi" w:hAnsiTheme="minorHAnsi" w:cstheme="minorHAnsi"/>
        </w:rPr>
      </w:pPr>
      <w:r w:rsidRPr="008D1192">
        <w:rPr>
          <w:rFonts w:asciiTheme="minorHAnsi" w:hAnsiTheme="minorHAnsi" w:cstheme="minorHAnsi"/>
        </w:rPr>
        <w:t xml:space="preserve">investițiile în extinderea și schimbarea destinației, conversia sau modernizarea rețelelor de transport și distribuție a gazelor, cu condiția ca aceste investiții să pregătească rețelele pentru adăugarea în sistem a gazelor din surse regenerabile și a gazelor cu emisii reduse de carbon, cum ar fi hidrogenul, biometanul și gazul de sinteză, și să permită înlocuirea instalațiilor de combustibili fosili solizi; </w:t>
      </w:r>
    </w:p>
    <w:p w14:paraId="0120B38E" w14:textId="77777777" w:rsidR="00400C56" w:rsidRPr="008D1192" w:rsidRDefault="00400C56" w:rsidP="00400C56">
      <w:pPr>
        <w:pStyle w:val="ListParagraph"/>
        <w:numPr>
          <w:ilvl w:val="2"/>
          <w:numId w:val="13"/>
        </w:numPr>
        <w:spacing w:before="0" w:after="0"/>
        <w:ind w:left="3420" w:hanging="270"/>
        <w:rPr>
          <w:rFonts w:asciiTheme="minorHAnsi" w:hAnsiTheme="minorHAnsi" w:cstheme="minorHAnsi"/>
        </w:rPr>
      </w:pPr>
      <w:r w:rsidRPr="008D1192">
        <w:rPr>
          <w:rFonts w:asciiTheme="minorHAnsi" w:hAnsiTheme="minorHAnsi" w:cstheme="minorHAnsi"/>
        </w:rPr>
        <w:t>investițiile în vehiculele nepoluante, astfel cum sunt definite în Directiva 2009/33/CE a Parlamentului European și a Consiliului ( 22), de interes public; și  vehicule, aeronave și nave proiectate și construite sau adaptate pentru a fi utilizate de serviciile de protecție civilă și de pompieri.</w:t>
      </w:r>
    </w:p>
    <w:p w14:paraId="5E9509DA" w14:textId="77777777" w:rsidR="00400C56" w:rsidRPr="008D1192" w:rsidRDefault="00400C56" w:rsidP="00400C56">
      <w:pPr>
        <w:spacing w:after="0"/>
        <w:rPr>
          <w:rFonts w:asciiTheme="minorHAnsi" w:hAnsiTheme="minorHAnsi" w:cstheme="minorHAnsi"/>
        </w:rPr>
      </w:pPr>
    </w:p>
    <w:p w14:paraId="16A7E40A" w14:textId="2D265634" w:rsidR="00400C56" w:rsidRPr="008D1192" w:rsidRDefault="00400C56" w:rsidP="00400C56">
      <w:pPr>
        <w:spacing w:before="0" w:after="0"/>
        <w:ind w:left="0"/>
        <w:rPr>
          <w:rFonts w:asciiTheme="minorHAnsi" w:hAnsiTheme="minorHAnsi" w:cstheme="minorHAnsi"/>
        </w:rPr>
      </w:pPr>
      <w:r w:rsidRPr="008D1192">
        <w:rPr>
          <w:rFonts w:asciiTheme="minorHAnsi" w:hAnsiTheme="minorHAnsi" w:cstheme="minorHAnsi"/>
        </w:rPr>
        <w:t>Activitățile proiectului și/sau echipamentele achiziționate pentru asigurarea îndeplinirii obiectivului de atenuare a schimbărilor climatice, pe lângă cele mai sus, nu vor fi realizate/utilizate în legătură directă/indirectă pentru:</w:t>
      </w:r>
    </w:p>
    <w:p w14:paraId="41E40B88" w14:textId="77777777" w:rsidR="00400C56" w:rsidRPr="008D1192" w:rsidRDefault="00400C56" w:rsidP="00DD4CAC">
      <w:pPr>
        <w:pStyle w:val="ListParagraph"/>
        <w:numPr>
          <w:ilvl w:val="0"/>
          <w:numId w:val="17"/>
        </w:numPr>
        <w:spacing w:before="0" w:after="0"/>
        <w:rPr>
          <w:rFonts w:asciiTheme="minorHAnsi" w:hAnsiTheme="minorHAnsi" w:cstheme="minorHAnsi"/>
        </w:rPr>
      </w:pPr>
      <w:r w:rsidRPr="008D1192">
        <w:rPr>
          <w:rFonts w:asciiTheme="minorHAnsi" w:hAnsiTheme="minorHAnsi" w:cstheme="minorHAnsi"/>
        </w:rPr>
        <w:lastRenderedPageBreak/>
        <w:t>activități legate de combustibili fosili, inclusiv utilizarea în aval</w:t>
      </w:r>
      <w:r w:rsidRPr="008D1192">
        <w:rPr>
          <w:rFonts w:asciiTheme="minorHAnsi" w:hAnsiTheme="minorHAnsi" w:cstheme="minorHAnsi"/>
        </w:rPr>
        <w:footnoteReference w:id="2"/>
      </w:r>
      <w:r w:rsidRPr="008D1192">
        <w:rPr>
          <w:rFonts w:asciiTheme="minorHAnsi" w:hAnsiTheme="minorHAnsi" w:cstheme="minorHAnsi"/>
        </w:rPr>
        <w:t>,</w:t>
      </w:r>
    </w:p>
    <w:p w14:paraId="649B2736" w14:textId="77777777" w:rsidR="00400C56" w:rsidRPr="008D1192" w:rsidRDefault="00400C56" w:rsidP="00DD4CAC">
      <w:pPr>
        <w:pStyle w:val="ListParagraph"/>
        <w:numPr>
          <w:ilvl w:val="0"/>
          <w:numId w:val="17"/>
        </w:numPr>
        <w:spacing w:before="0" w:after="0"/>
        <w:rPr>
          <w:rFonts w:asciiTheme="minorHAnsi" w:hAnsiTheme="minorHAnsi" w:cstheme="minorHAnsi"/>
        </w:rPr>
      </w:pPr>
      <w:r w:rsidRPr="008D1192">
        <w:rPr>
          <w:rFonts w:asciiTheme="minorHAnsi" w:hAnsiTheme="minorHAnsi" w:cstheme="minorHAnsi"/>
        </w:rPr>
        <w:t xml:space="preserve"> activități acoperite de sistemul UE de comercializare a certificatelor de emisii (ETS) atingând emisii de CO2 preconizate a nu fi substanțial mai mici decât valorile de referință relevante</w:t>
      </w:r>
      <w:r w:rsidRPr="008D1192">
        <w:rPr>
          <w:rFonts w:asciiTheme="minorHAnsi" w:hAnsiTheme="minorHAnsi" w:cstheme="minorHAnsi"/>
        </w:rPr>
        <w:footnoteReference w:id="3"/>
      </w:r>
      <w:r w:rsidRPr="008D1192">
        <w:rPr>
          <w:rFonts w:asciiTheme="minorHAnsi" w:hAnsiTheme="minorHAnsi" w:cstheme="minorHAnsi"/>
        </w:rPr>
        <w:t xml:space="preserve">, </w:t>
      </w:r>
    </w:p>
    <w:p w14:paraId="2F3C3569" w14:textId="77777777" w:rsidR="00400C56" w:rsidRPr="008D1192" w:rsidRDefault="00400C56" w:rsidP="00DD4CAC">
      <w:pPr>
        <w:pStyle w:val="ListParagraph"/>
        <w:numPr>
          <w:ilvl w:val="0"/>
          <w:numId w:val="17"/>
        </w:numPr>
        <w:spacing w:before="0" w:after="0"/>
        <w:rPr>
          <w:rFonts w:asciiTheme="minorHAnsi" w:hAnsiTheme="minorHAnsi" w:cstheme="minorHAnsi"/>
        </w:rPr>
      </w:pPr>
      <w:r w:rsidRPr="008D1192">
        <w:rPr>
          <w:rFonts w:asciiTheme="minorHAnsi" w:hAnsiTheme="minorHAnsi" w:cstheme="minorHAnsi"/>
        </w:rPr>
        <w:t>compensarea costurilor ETS indirecte;</w:t>
      </w:r>
    </w:p>
    <w:p w14:paraId="33D9BB1C" w14:textId="77777777" w:rsidR="00400C56" w:rsidRPr="008D1192" w:rsidRDefault="00400C56" w:rsidP="00DD4CAC">
      <w:pPr>
        <w:pStyle w:val="ListParagraph"/>
        <w:numPr>
          <w:ilvl w:val="0"/>
          <w:numId w:val="17"/>
        </w:numPr>
        <w:spacing w:before="0" w:after="0"/>
        <w:rPr>
          <w:rFonts w:asciiTheme="minorHAnsi" w:hAnsiTheme="minorHAnsi" w:cstheme="minorHAnsi"/>
        </w:rPr>
      </w:pPr>
      <w:r w:rsidRPr="008D1192">
        <w:rPr>
          <w:rFonts w:asciiTheme="minorHAnsi" w:hAnsiTheme="minorHAnsi" w:cstheme="minorHAnsi"/>
        </w:rPr>
        <w:t xml:space="preserve">activități legate de depozitele de deșeuri, incineratoare si instalațiile de tratare </w:t>
      </w:r>
      <w:proofErr w:type="spellStart"/>
      <w:r w:rsidRPr="008D1192">
        <w:rPr>
          <w:rFonts w:asciiTheme="minorHAnsi" w:hAnsiTheme="minorHAnsi" w:cstheme="minorHAnsi"/>
        </w:rPr>
        <w:t>mecano</w:t>
      </w:r>
      <w:proofErr w:type="spellEnd"/>
      <w:r w:rsidRPr="008D1192">
        <w:rPr>
          <w:rFonts w:asciiTheme="minorHAnsi" w:hAnsiTheme="minorHAnsi" w:cstheme="minorHAnsi"/>
        </w:rPr>
        <w:t>-biologică a deșeurilor</w:t>
      </w:r>
      <w:r w:rsidRPr="008D1192">
        <w:rPr>
          <w:rFonts w:asciiTheme="minorHAnsi" w:hAnsiTheme="minorHAnsi" w:cstheme="minorHAnsi"/>
        </w:rPr>
        <w:footnoteReference w:id="4"/>
      </w:r>
      <w:r w:rsidRPr="008D1192">
        <w:rPr>
          <w:rFonts w:asciiTheme="minorHAnsi" w:hAnsiTheme="minorHAnsi" w:cstheme="minorHAnsi"/>
        </w:rPr>
        <w:t xml:space="preserve">, </w:t>
      </w:r>
    </w:p>
    <w:p w14:paraId="42EC0354" w14:textId="77777777" w:rsidR="00400C56" w:rsidRPr="008D1192" w:rsidRDefault="00400C56" w:rsidP="00DD4CAC">
      <w:pPr>
        <w:pStyle w:val="ListParagraph"/>
        <w:numPr>
          <w:ilvl w:val="0"/>
          <w:numId w:val="17"/>
        </w:numPr>
        <w:spacing w:before="0" w:after="0"/>
        <w:rPr>
          <w:rFonts w:asciiTheme="minorHAnsi" w:hAnsiTheme="minorHAnsi" w:cstheme="minorHAnsi"/>
        </w:rPr>
      </w:pPr>
      <w:r w:rsidRPr="008D1192">
        <w:rPr>
          <w:rFonts w:asciiTheme="minorHAnsi" w:hAnsiTheme="minorHAnsi" w:cstheme="minorHAnsi"/>
        </w:rPr>
        <w:t xml:space="preserve">activități în care eliminarea pe termen lung a deșeurilor poate dăuna mediului (de exemplu, deșeurile nucleare). </w:t>
      </w:r>
    </w:p>
    <w:p w14:paraId="73488567" w14:textId="77777777" w:rsidR="00400C56" w:rsidRPr="008D1192" w:rsidRDefault="00400C56" w:rsidP="00400C56">
      <w:pPr>
        <w:spacing w:after="0"/>
        <w:rPr>
          <w:rFonts w:asciiTheme="minorHAnsi" w:hAnsiTheme="minorHAnsi" w:cstheme="minorHAnsi"/>
        </w:rPr>
      </w:pPr>
    </w:p>
    <w:p w14:paraId="4032C318" w14:textId="77777777" w:rsidR="00400C56" w:rsidRPr="008D1192" w:rsidRDefault="00400C56" w:rsidP="00DD4CAC">
      <w:pPr>
        <w:spacing w:before="0" w:after="0"/>
        <w:ind w:left="0"/>
        <w:rPr>
          <w:rFonts w:asciiTheme="minorHAnsi" w:hAnsiTheme="minorHAnsi" w:cstheme="minorHAnsi"/>
          <w:caps/>
        </w:rPr>
      </w:pPr>
      <w:r w:rsidRPr="008D1192">
        <w:rPr>
          <w:rFonts w:asciiTheme="minorHAnsi" w:hAnsiTheme="minorHAnsi" w:cstheme="minorHAnsi"/>
        </w:rPr>
        <w:t>Activitatea aferenta proiectului nu conduce la fabricarea, introducerea pe piață sau utilizarea:</w:t>
      </w:r>
    </w:p>
    <w:p w14:paraId="7673412A" w14:textId="77777777" w:rsidR="00400C56" w:rsidRPr="008D1192" w:rsidRDefault="00400C56" w:rsidP="00400C56">
      <w:pPr>
        <w:pStyle w:val="ListParagraph"/>
        <w:numPr>
          <w:ilvl w:val="0"/>
          <w:numId w:val="16"/>
        </w:numPr>
        <w:spacing w:before="0" w:after="0"/>
        <w:ind w:left="1710"/>
        <w:rPr>
          <w:rFonts w:asciiTheme="minorHAnsi" w:hAnsiTheme="minorHAnsi" w:cstheme="minorHAnsi"/>
        </w:rPr>
      </w:pPr>
      <w:r w:rsidRPr="008D1192">
        <w:rPr>
          <w:rFonts w:asciiTheme="minorHAnsi" w:hAnsiTheme="minorHAnsi" w:cstheme="minorHAnsi"/>
        </w:rPr>
        <w:t>ca atare, în amestecuri sau în articole, a substanțelor enumerate în anexa I sau anexa II la Regulamentul (UE) 2019/1021 al Parlamentului European și al Consiliului, cu excepția cazului în care substanțele sunt prezente ca urme neintenționate de contaminant;</w:t>
      </w:r>
    </w:p>
    <w:p w14:paraId="3E97D31B" w14:textId="77777777" w:rsidR="00400C56" w:rsidRPr="008D1192" w:rsidRDefault="00400C56" w:rsidP="00400C56">
      <w:pPr>
        <w:pStyle w:val="ListParagraph"/>
        <w:numPr>
          <w:ilvl w:val="0"/>
          <w:numId w:val="16"/>
        </w:numPr>
        <w:spacing w:before="0" w:after="0"/>
        <w:ind w:left="1710"/>
        <w:rPr>
          <w:rFonts w:asciiTheme="minorHAnsi" w:hAnsiTheme="minorHAnsi" w:cstheme="minorHAnsi"/>
        </w:rPr>
      </w:pPr>
      <w:r w:rsidRPr="008D1192">
        <w:rPr>
          <w:rFonts w:asciiTheme="minorHAnsi" w:hAnsiTheme="minorHAnsi" w:cstheme="minorHAnsi"/>
        </w:rPr>
        <w:t>mercurului și a compușilor mercurului, a amestecurilor acestora și a produselor cu adaos de mercur, astfel cum sunt definite la articolul 2 din Regulamentul (UE) 2017/852 al Parlamentului European și al Consiliului;</w:t>
      </w:r>
    </w:p>
    <w:p w14:paraId="618A8D8C" w14:textId="77777777" w:rsidR="00400C56" w:rsidRPr="008D1192" w:rsidRDefault="00400C56" w:rsidP="00400C56">
      <w:pPr>
        <w:pStyle w:val="ListParagraph"/>
        <w:numPr>
          <w:ilvl w:val="0"/>
          <w:numId w:val="16"/>
        </w:numPr>
        <w:spacing w:before="0" w:after="0"/>
        <w:ind w:left="1710"/>
        <w:rPr>
          <w:rFonts w:asciiTheme="minorHAnsi" w:hAnsiTheme="minorHAnsi" w:cstheme="minorHAnsi"/>
        </w:rPr>
      </w:pPr>
      <w:r w:rsidRPr="008D1192">
        <w:rPr>
          <w:rFonts w:asciiTheme="minorHAnsi" w:hAnsiTheme="minorHAnsi" w:cstheme="minorHAnsi"/>
        </w:rPr>
        <w:t xml:space="preserve"> ca atare, în amestecuri sau în articole, a substanțelor enumerate în anexa I sau anexa II la Regulamentul (CE) nr. 1005/2009 al Parlamentului European și al Consiliului</w:t>
      </w:r>
    </w:p>
    <w:p w14:paraId="1B650C6D" w14:textId="77777777" w:rsidR="00400C56" w:rsidRPr="008D1192" w:rsidRDefault="00400C56" w:rsidP="00400C56">
      <w:pPr>
        <w:pStyle w:val="ListParagraph"/>
        <w:numPr>
          <w:ilvl w:val="0"/>
          <w:numId w:val="16"/>
        </w:numPr>
        <w:spacing w:before="0" w:after="0"/>
        <w:ind w:left="1710"/>
        <w:rPr>
          <w:rFonts w:asciiTheme="minorHAnsi" w:hAnsiTheme="minorHAnsi" w:cstheme="minorHAnsi"/>
        </w:rPr>
      </w:pPr>
      <w:r w:rsidRPr="008D1192">
        <w:rPr>
          <w:rFonts w:asciiTheme="minorHAnsi" w:hAnsiTheme="minorHAnsi" w:cstheme="minorHAnsi"/>
        </w:rPr>
        <w:t>ca atare, în amestecuri sau în articole, a substanțelor enumerate în anexa II la Directiva 2011/65/UE a Parlamentului European și a Consiliului, cu excepția cazului în care se respectă pe deplin articolul 4 alineatul (1) din directiva respectivă;</w:t>
      </w:r>
    </w:p>
    <w:p w14:paraId="0E9A7FE7" w14:textId="77777777" w:rsidR="00400C56" w:rsidRPr="008D1192" w:rsidRDefault="00400C56" w:rsidP="00400C56">
      <w:pPr>
        <w:pStyle w:val="ListParagraph"/>
        <w:numPr>
          <w:ilvl w:val="0"/>
          <w:numId w:val="16"/>
        </w:numPr>
        <w:spacing w:before="0" w:after="0"/>
        <w:ind w:left="1710"/>
        <w:rPr>
          <w:rFonts w:asciiTheme="minorHAnsi" w:hAnsiTheme="minorHAnsi" w:cstheme="minorHAnsi"/>
        </w:rPr>
      </w:pPr>
      <w:r w:rsidRPr="008D1192">
        <w:rPr>
          <w:rFonts w:asciiTheme="minorHAnsi" w:hAnsiTheme="minorHAnsi" w:cstheme="minorHAnsi"/>
        </w:rPr>
        <w:t>ca atare, în amestecuri sau în articole, a substanțelor enumerate în anexa XVII la Regulamentul (CE) nr. 1907/2006 al Parlamentului European și al Consiliului, cu excepția cazului în care se respectă pe deplin condițiile specificate în anexa respectivă;</w:t>
      </w:r>
    </w:p>
    <w:p w14:paraId="58296D46" w14:textId="77777777" w:rsidR="00400C56" w:rsidRPr="008D1192" w:rsidRDefault="00400C56" w:rsidP="00400C56">
      <w:pPr>
        <w:pStyle w:val="ListParagraph"/>
        <w:numPr>
          <w:ilvl w:val="0"/>
          <w:numId w:val="16"/>
        </w:numPr>
        <w:spacing w:before="0" w:after="0"/>
        <w:ind w:left="1710"/>
        <w:rPr>
          <w:rFonts w:asciiTheme="minorHAnsi" w:hAnsiTheme="minorHAnsi" w:cstheme="minorHAnsi"/>
        </w:rPr>
      </w:pPr>
      <w:r w:rsidRPr="008D1192">
        <w:rPr>
          <w:rFonts w:asciiTheme="minorHAnsi" w:hAnsiTheme="minorHAnsi" w:cstheme="minorHAnsi"/>
        </w:rPr>
        <w:t>unor substanțe care, fie singure, fie în amestecuri, fie ca parte dintr-un articol, îndeplinesc criteriile prevăzute la articolul 57 din Regulamentul (CE) 1907/2006 și sunt identificare în conformitate cu articolul 59 alineatul (1) din regulamentul respectiv, cu excepția cazului în care s-a dovedit că utilizarea lor este esențială pentru societate;</w:t>
      </w:r>
    </w:p>
    <w:p w14:paraId="485204A6" w14:textId="77777777" w:rsidR="00400C56" w:rsidRPr="008D1192" w:rsidRDefault="00400C56" w:rsidP="00400C56">
      <w:pPr>
        <w:pStyle w:val="ListParagraph"/>
        <w:numPr>
          <w:ilvl w:val="0"/>
          <w:numId w:val="16"/>
        </w:numPr>
        <w:spacing w:before="0" w:after="0"/>
        <w:ind w:left="1710"/>
        <w:rPr>
          <w:rFonts w:asciiTheme="minorHAnsi" w:hAnsiTheme="minorHAnsi" w:cstheme="minorHAnsi"/>
        </w:rPr>
      </w:pPr>
      <w:r w:rsidRPr="008D1192">
        <w:rPr>
          <w:rFonts w:asciiTheme="minorHAnsi" w:hAnsiTheme="minorHAnsi" w:cstheme="minorHAnsi"/>
        </w:rPr>
        <w:lastRenderedPageBreak/>
        <w:t>altor substanțe care, fie singure, fie în amestecuri, fie ca parte dintr-un articol, îndeplinesc criteriile prevăzute la articolul 57 din Regulamentul (CE) 1907/2006, cu excepția cazului în care s-a dovedit că utilizarea lor este esențială pentru societate.</w:t>
      </w:r>
    </w:p>
    <w:p w14:paraId="11D3F660" w14:textId="77777777" w:rsidR="00400C56" w:rsidRPr="008D1192" w:rsidRDefault="00400C56" w:rsidP="00400C56">
      <w:pPr>
        <w:spacing w:before="0" w:after="0"/>
        <w:ind w:left="0"/>
        <w:rPr>
          <w:rFonts w:asciiTheme="minorHAnsi" w:hAnsiTheme="minorHAnsi" w:cstheme="minorHAnsi"/>
        </w:rPr>
      </w:pPr>
    </w:p>
    <w:p w14:paraId="722C5844" w14:textId="6C5481EB" w:rsidR="00FF4273" w:rsidRDefault="00FF4273" w:rsidP="00FF4273">
      <w:pPr>
        <w:pStyle w:val="Heading1"/>
        <w:numPr>
          <w:ilvl w:val="0"/>
          <w:numId w:val="0"/>
        </w:numPr>
        <w:ind w:left="720"/>
        <w:rPr>
          <w:rFonts w:asciiTheme="minorHAnsi" w:hAnsiTheme="minorHAnsi" w:cstheme="minorHAnsi"/>
          <w:sz w:val="22"/>
          <w:szCs w:val="22"/>
        </w:rPr>
      </w:pPr>
      <w:bookmarkStart w:id="5" w:name="_Toc142334808"/>
      <w:r w:rsidRPr="008D1192">
        <w:rPr>
          <w:rFonts w:asciiTheme="minorHAnsi" w:hAnsiTheme="minorHAnsi" w:cstheme="minorHAnsi"/>
          <w:sz w:val="22"/>
          <w:szCs w:val="22"/>
        </w:rPr>
        <w:t>F. Domenii excluse de PTJ 2021-2027</w:t>
      </w:r>
      <w:bookmarkEnd w:id="5"/>
    </w:p>
    <w:p w14:paraId="072FDB95" w14:textId="1642BE70" w:rsidR="00FE0BE0" w:rsidRDefault="00931CC3" w:rsidP="006006A2">
      <w:pPr>
        <w:numPr>
          <w:ilvl w:val="0"/>
          <w:numId w:val="23"/>
        </w:numPr>
        <w:spacing w:before="60" w:after="60"/>
        <w:ind w:left="1434" w:hanging="357"/>
      </w:pPr>
      <w:r w:rsidRPr="001D3A39">
        <w:t>producția de energie regenerabilă din biomasă.</w:t>
      </w:r>
    </w:p>
    <w:p w14:paraId="1CF3D839" w14:textId="6F472679" w:rsidR="00FE0BE0" w:rsidRDefault="00FE0BE0" w:rsidP="00FE0BE0">
      <w:pPr>
        <w:pStyle w:val="Heading1"/>
        <w:numPr>
          <w:ilvl w:val="0"/>
          <w:numId w:val="0"/>
        </w:numPr>
        <w:ind w:left="720"/>
        <w:rPr>
          <w:rFonts w:asciiTheme="minorHAnsi" w:hAnsiTheme="minorHAnsi" w:cstheme="minorHAnsi"/>
          <w:sz w:val="22"/>
          <w:szCs w:val="22"/>
        </w:rPr>
      </w:pPr>
      <w:bookmarkStart w:id="6" w:name="_Toc142334809"/>
      <w:r>
        <w:rPr>
          <w:rFonts w:asciiTheme="minorHAnsi" w:hAnsiTheme="minorHAnsi" w:cstheme="minorHAnsi"/>
          <w:sz w:val="22"/>
          <w:szCs w:val="22"/>
        </w:rPr>
        <w:t>G</w:t>
      </w:r>
      <w:r w:rsidRPr="008D1192">
        <w:rPr>
          <w:rFonts w:asciiTheme="minorHAnsi" w:hAnsiTheme="minorHAnsi" w:cstheme="minorHAnsi"/>
          <w:sz w:val="22"/>
          <w:szCs w:val="22"/>
        </w:rPr>
        <w:t xml:space="preserve">. </w:t>
      </w:r>
      <w:r>
        <w:rPr>
          <w:rFonts w:asciiTheme="minorHAnsi" w:hAnsiTheme="minorHAnsi" w:cstheme="minorHAnsi"/>
          <w:sz w:val="22"/>
          <w:szCs w:val="22"/>
        </w:rPr>
        <w:t xml:space="preserve">Domenii excluse de prevederile </w:t>
      </w:r>
      <w:proofErr w:type="spellStart"/>
      <w:r>
        <w:rPr>
          <w:rFonts w:asciiTheme="minorHAnsi" w:hAnsiTheme="minorHAnsi" w:cstheme="minorHAnsi"/>
          <w:sz w:val="22"/>
          <w:szCs w:val="22"/>
        </w:rPr>
        <w:t>art</w:t>
      </w:r>
      <w:proofErr w:type="spellEnd"/>
      <w:r>
        <w:rPr>
          <w:rFonts w:asciiTheme="minorHAnsi" w:hAnsiTheme="minorHAnsi" w:cstheme="minorHAnsi"/>
          <w:sz w:val="22"/>
          <w:szCs w:val="22"/>
        </w:rPr>
        <w:t xml:space="preserve"> 346 din Tratatul de Funcționare a UE (TFUE)</w:t>
      </w:r>
      <w:bookmarkEnd w:id="6"/>
    </w:p>
    <w:p w14:paraId="65D51D16" w14:textId="77777777" w:rsidR="00FE0BE0" w:rsidRPr="001D3A39" w:rsidRDefault="00FE0BE0" w:rsidP="00FE0BE0">
      <w:pPr>
        <w:numPr>
          <w:ilvl w:val="0"/>
          <w:numId w:val="23"/>
        </w:numPr>
        <w:spacing w:before="60" w:after="60"/>
        <w:ind w:left="1434" w:hanging="357"/>
      </w:pPr>
      <w:r w:rsidRPr="001D3A39">
        <w:t>producția sau comerțul cu armament, muniție și material de război, în conformitate cu prevederile art. 346 din Tratatul privind funcționarea Uniunii Europene;</w:t>
      </w:r>
    </w:p>
    <w:p w14:paraId="3D9B92B3" w14:textId="77777777" w:rsidR="00C501E3" w:rsidRDefault="00C501E3" w:rsidP="00C501E3"/>
    <w:p w14:paraId="06371B7E" w14:textId="77777777" w:rsidR="00C501E3" w:rsidRPr="00C501E3" w:rsidRDefault="00C501E3" w:rsidP="00C501E3"/>
    <w:sectPr w:rsidR="00C501E3" w:rsidRPr="00C501E3" w:rsidSect="0053008F">
      <w:headerReference w:type="default" r:id="rId8"/>
      <w:footerReference w:type="default" r:id="rId9"/>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00E15" w14:textId="77777777" w:rsidR="00705D85" w:rsidRDefault="00705D85" w:rsidP="00A213FE">
      <w:pPr>
        <w:spacing w:before="0" w:after="0"/>
      </w:pPr>
      <w:r>
        <w:separator/>
      </w:r>
    </w:p>
  </w:endnote>
  <w:endnote w:type="continuationSeparator" w:id="0">
    <w:p w14:paraId="1751E445" w14:textId="77777777" w:rsidR="00705D85" w:rsidRDefault="00705D85" w:rsidP="00A213F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ajan Pr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744873"/>
      <w:docPartObj>
        <w:docPartGallery w:val="Page Numbers (Bottom of Page)"/>
        <w:docPartUnique/>
      </w:docPartObj>
    </w:sdtPr>
    <w:sdtContent>
      <w:sdt>
        <w:sdtPr>
          <w:id w:val="-1769616900"/>
          <w:docPartObj>
            <w:docPartGallery w:val="Page Numbers (Top of Page)"/>
            <w:docPartUnique/>
          </w:docPartObj>
        </w:sdtPr>
        <w:sdtContent>
          <w:p w14:paraId="28C36A0C" w14:textId="381A803D" w:rsidR="00A213FE" w:rsidRDefault="00A213F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C47837C" w14:textId="77777777" w:rsidR="00A213FE" w:rsidRDefault="00A213FE">
    <w:pPr>
      <w:pStyle w:val="Footer"/>
    </w:pPr>
  </w:p>
  <w:p w14:paraId="1BB3A82B"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A54EF" w14:textId="77777777" w:rsidR="00705D85" w:rsidRDefault="00705D85" w:rsidP="00A213FE">
      <w:pPr>
        <w:spacing w:before="0" w:after="0"/>
      </w:pPr>
      <w:r>
        <w:separator/>
      </w:r>
    </w:p>
  </w:footnote>
  <w:footnote w:type="continuationSeparator" w:id="0">
    <w:p w14:paraId="70073AA2" w14:textId="77777777" w:rsidR="00705D85" w:rsidRDefault="00705D85" w:rsidP="00A213FE">
      <w:pPr>
        <w:spacing w:before="0" w:after="0"/>
      </w:pPr>
      <w:r>
        <w:continuationSeparator/>
      </w:r>
    </w:p>
  </w:footnote>
  <w:footnote w:id="1">
    <w:p w14:paraId="192BDD8A" w14:textId="77777777" w:rsidR="00EB19D6" w:rsidRPr="00EB19D6" w:rsidRDefault="00EB19D6" w:rsidP="00EB19D6">
      <w:pPr>
        <w:spacing w:before="0" w:after="0"/>
        <w:ind w:left="0"/>
        <w:rPr>
          <w:rFonts w:ascii="Arial" w:hAnsi="Arial" w:cs="Arial"/>
          <w:sz w:val="16"/>
          <w:szCs w:val="16"/>
        </w:rPr>
      </w:pPr>
      <w:r w:rsidRPr="00EB19D6">
        <w:rPr>
          <w:rStyle w:val="FootnoteReference"/>
          <w:sz w:val="16"/>
          <w:szCs w:val="16"/>
        </w:rPr>
        <w:footnoteRef/>
      </w:r>
      <w:r w:rsidRPr="00EB19D6">
        <w:rPr>
          <w:sz w:val="16"/>
          <w:szCs w:val="16"/>
        </w:rPr>
        <w:t xml:space="preserve"> Întreprindere în dificultate înseamnă o întreprindere care se află în cel </w:t>
      </w:r>
      <w:proofErr w:type="spellStart"/>
      <w:r w:rsidRPr="00EB19D6">
        <w:rPr>
          <w:sz w:val="16"/>
          <w:szCs w:val="16"/>
        </w:rPr>
        <w:t>puţin</w:t>
      </w:r>
      <w:proofErr w:type="spellEnd"/>
      <w:r w:rsidRPr="00EB19D6">
        <w:rPr>
          <w:sz w:val="16"/>
          <w:szCs w:val="16"/>
        </w:rPr>
        <w:t xml:space="preserve"> una din </w:t>
      </w:r>
      <w:proofErr w:type="spellStart"/>
      <w:r w:rsidRPr="00EB19D6">
        <w:rPr>
          <w:sz w:val="16"/>
          <w:szCs w:val="16"/>
        </w:rPr>
        <w:t>situaţiile</w:t>
      </w:r>
      <w:proofErr w:type="spellEnd"/>
      <w:r w:rsidRPr="00EB19D6">
        <w:rPr>
          <w:sz w:val="16"/>
          <w:szCs w:val="16"/>
        </w:rPr>
        <w:t xml:space="preserve"> următoare: </w:t>
      </w:r>
    </w:p>
    <w:p w14:paraId="0D51CEEF" w14:textId="167C6A30" w:rsidR="00EB19D6" w:rsidRPr="00EB19D6" w:rsidRDefault="00EB19D6" w:rsidP="00EB19D6">
      <w:pPr>
        <w:pStyle w:val="ListParagraph"/>
        <w:numPr>
          <w:ilvl w:val="0"/>
          <w:numId w:val="8"/>
        </w:numPr>
        <w:spacing w:before="0" w:after="0"/>
        <w:rPr>
          <w:sz w:val="16"/>
          <w:szCs w:val="16"/>
        </w:rPr>
      </w:pPr>
      <w:r w:rsidRPr="00EB19D6">
        <w:rPr>
          <w:sz w:val="16"/>
          <w:szCs w:val="16"/>
        </w:rPr>
        <w:t xml:space="preserve">În cazul unei </w:t>
      </w:r>
      <w:proofErr w:type="spellStart"/>
      <w:r w:rsidRPr="00EB19D6">
        <w:rPr>
          <w:sz w:val="16"/>
          <w:szCs w:val="16"/>
        </w:rPr>
        <w:t>societăţi</w:t>
      </w:r>
      <w:proofErr w:type="spellEnd"/>
      <w:r w:rsidRPr="00EB19D6">
        <w:rPr>
          <w:sz w:val="16"/>
          <w:szCs w:val="16"/>
        </w:rPr>
        <w:t xml:space="preserve"> comerciale cu răspundere limitată [alta decât un IMM care există de cel </w:t>
      </w:r>
      <w:proofErr w:type="spellStart"/>
      <w:r w:rsidRPr="00EB19D6">
        <w:rPr>
          <w:sz w:val="16"/>
          <w:szCs w:val="16"/>
        </w:rPr>
        <w:t>puţin</w:t>
      </w:r>
      <w:proofErr w:type="spellEnd"/>
      <w:r w:rsidRPr="00EB19D6">
        <w:rPr>
          <w:sz w:val="16"/>
          <w:szCs w:val="16"/>
        </w:rPr>
        <w:t xml:space="preserve"> 3 ani sau, în sensul </w:t>
      </w:r>
      <w:proofErr w:type="spellStart"/>
      <w:r w:rsidRPr="00EB19D6">
        <w:rPr>
          <w:sz w:val="16"/>
          <w:szCs w:val="16"/>
        </w:rPr>
        <w:t>eligibilităţii</w:t>
      </w:r>
      <w:proofErr w:type="spellEnd"/>
      <w:r w:rsidRPr="00EB19D6">
        <w:rPr>
          <w:sz w:val="16"/>
          <w:szCs w:val="16"/>
        </w:rPr>
        <w:t xml:space="preserve"> pentru ajutor pentru </w:t>
      </w:r>
      <w:proofErr w:type="spellStart"/>
      <w:r w:rsidRPr="00EB19D6">
        <w:rPr>
          <w:sz w:val="16"/>
          <w:szCs w:val="16"/>
        </w:rPr>
        <w:t>finanţare</w:t>
      </w:r>
      <w:proofErr w:type="spellEnd"/>
      <w:r w:rsidRPr="00EB19D6">
        <w:rPr>
          <w:sz w:val="16"/>
          <w:szCs w:val="16"/>
        </w:rPr>
        <w:t xml:space="preserve"> de risc, un IMM care îndeplinește </w:t>
      </w:r>
      <w:proofErr w:type="spellStart"/>
      <w:r w:rsidRPr="00EB19D6">
        <w:rPr>
          <w:sz w:val="16"/>
          <w:szCs w:val="16"/>
        </w:rPr>
        <w:t>condiţia</w:t>
      </w:r>
      <w:proofErr w:type="spellEnd"/>
      <w:r w:rsidRPr="00EB19D6">
        <w:rPr>
          <w:sz w:val="16"/>
          <w:szCs w:val="16"/>
        </w:rPr>
        <w:t xml:space="preserve"> prevăzută la articolul 21 alineatul (3) litera (b) și care se califică pentru </w:t>
      </w:r>
      <w:proofErr w:type="spellStart"/>
      <w:r w:rsidRPr="00EB19D6">
        <w:rPr>
          <w:sz w:val="16"/>
          <w:szCs w:val="16"/>
        </w:rPr>
        <w:t>investiţii</w:t>
      </w:r>
      <w:proofErr w:type="spellEnd"/>
      <w:r w:rsidRPr="00EB19D6">
        <w:rPr>
          <w:sz w:val="16"/>
          <w:szCs w:val="16"/>
        </w:rPr>
        <w:t xml:space="preserve"> pentru </w:t>
      </w:r>
      <w:proofErr w:type="spellStart"/>
      <w:r w:rsidRPr="00EB19D6">
        <w:rPr>
          <w:sz w:val="16"/>
          <w:szCs w:val="16"/>
        </w:rPr>
        <w:t>finanţare</w:t>
      </w:r>
      <w:proofErr w:type="spellEnd"/>
      <w:r w:rsidRPr="00EB19D6">
        <w:rPr>
          <w:sz w:val="16"/>
          <w:szCs w:val="16"/>
        </w:rPr>
        <w:t xml:space="preserve"> de risc în urma unui proces de </w:t>
      </w:r>
      <w:proofErr w:type="spellStart"/>
      <w:r w:rsidRPr="00EB19D6">
        <w:rPr>
          <w:sz w:val="16"/>
          <w:szCs w:val="16"/>
        </w:rPr>
        <w:t>diligenţă</w:t>
      </w:r>
      <w:proofErr w:type="spellEnd"/>
      <w:r w:rsidRPr="00EB19D6">
        <w:rPr>
          <w:sz w:val="16"/>
          <w:szCs w:val="16"/>
        </w:rPr>
        <w:t xml:space="preserve"> efectuat de un intermediar financiar selectat], atunci când mai mult de jumătate din capitalul său social subscris a dispărut din cauza pierderilor acumulate. Această </w:t>
      </w:r>
      <w:proofErr w:type="spellStart"/>
      <w:r w:rsidRPr="00EB19D6">
        <w:rPr>
          <w:sz w:val="16"/>
          <w:szCs w:val="16"/>
        </w:rPr>
        <w:t>situaţie</w:t>
      </w:r>
      <w:proofErr w:type="spellEnd"/>
      <w:r w:rsidRPr="00EB19D6">
        <w:rPr>
          <w:sz w:val="16"/>
          <w:szCs w:val="16"/>
        </w:rPr>
        <w:t xml:space="preserve"> survine atunci când deducerea pierderilor acumulate din rezerve (și din toate celelalte elemente considerate în general ca făcând parte din fondurile proprii ale </w:t>
      </w:r>
      <w:proofErr w:type="spellStart"/>
      <w:r w:rsidRPr="00EB19D6">
        <w:rPr>
          <w:sz w:val="16"/>
          <w:szCs w:val="16"/>
        </w:rPr>
        <w:t>societăţii</w:t>
      </w:r>
      <w:proofErr w:type="spellEnd"/>
      <w:r w:rsidRPr="00EB19D6">
        <w:rPr>
          <w:sz w:val="16"/>
          <w:szCs w:val="16"/>
        </w:rPr>
        <w:t xml:space="preserve">) conduce la un rezultat negativ care depășește jumătate din capitalul social subscris. </w:t>
      </w:r>
    </w:p>
    <w:p w14:paraId="21F81A43" w14:textId="77777777" w:rsidR="00A2073F" w:rsidRDefault="00EB19D6" w:rsidP="00A2073F">
      <w:pPr>
        <w:pStyle w:val="ListParagraph"/>
        <w:spacing w:before="0" w:after="0"/>
        <w:rPr>
          <w:sz w:val="16"/>
          <w:szCs w:val="16"/>
        </w:rPr>
      </w:pPr>
      <w:r w:rsidRPr="00EB19D6">
        <w:rPr>
          <w:sz w:val="16"/>
          <w:szCs w:val="16"/>
        </w:rPr>
        <w:t xml:space="preserve">În sensul acestei </w:t>
      </w:r>
      <w:proofErr w:type="spellStart"/>
      <w:r w:rsidRPr="00EB19D6">
        <w:rPr>
          <w:sz w:val="16"/>
          <w:szCs w:val="16"/>
        </w:rPr>
        <w:t>dispoziţii</w:t>
      </w:r>
      <w:proofErr w:type="spellEnd"/>
      <w:r w:rsidRPr="00EB19D6">
        <w:rPr>
          <w:sz w:val="16"/>
          <w:szCs w:val="16"/>
        </w:rPr>
        <w:t xml:space="preserve">, „societate cu răspundere limitată” se referă în special la tipurile de </w:t>
      </w:r>
      <w:proofErr w:type="spellStart"/>
      <w:r w:rsidRPr="00EB19D6">
        <w:rPr>
          <w:sz w:val="16"/>
          <w:szCs w:val="16"/>
        </w:rPr>
        <w:t>societăţi</w:t>
      </w:r>
      <w:proofErr w:type="spellEnd"/>
      <w:r w:rsidRPr="00EB19D6">
        <w:rPr>
          <w:sz w:val="16"/>
          <w:szCs w:val="16"/>
        </w:rPr>
        <w:t xml:space="preserve"> comerciale </w:t>
      </w:r>
      <w:proofErr w:type="spellStart"/>
      <w:r w:rsidRPr="00EB19D6">
        <w:rPr>
          <w:sz w:val="16"/>
          <w:szCs w:val="16"/>
        </w:rPr>
        <w:t>menţionate</w:t>
      </w:r>
      <w:proofErr w:type="spellEnd"/>
      <w:r w:rsidRPr="00EB19D6">
        <w:rPr>
          <w:sz w:val="16"/>
          <w:szCs w:val="16"/>
        </w:rPr>
        <w:t xml:space="preserve"> în anexa I la Directiva 2013/34/UE a Parlamentului European și a Consiliului (1), iar „capital social” include, dacă este cazul, orice capital suplimentar. </w:t>
      </w:r>
    </w:p>
    <w:p w14:paraId="0F83D637" w14:textId="77777777" w:rsidR="00A2073F" w:rsidRDefault="00A2073F" w:rsidP="00A2073F">
      <w:pPr>
        <w:pStyle w:val="ListParagraph"/>
        <w:spacing w:before="0" w:after="0"/>
        <w:rPr>
          <w:sz w:val="16"/>
          <w:szCs w:val="16"/>
        </w:rPr>
      </w:pPr>
    </w:p>
    <w:p w14:paraId="4D779487" w14:textId="77777777" w:rsidR="00A2073F" w:rsidRDefault="00EB19D6" w:rsidP="00A2073F">
      <w:pPr>
        <w:pStyle w:val="ListParagraph"/>
        <w:numPr>
          <w:ilvl w:val="0"/>
          <w:numId w:val="8"/>
        </w:numPr>
        <w:spacing w:before="0" w:after="0"/>
        <w:rPr>
          <w:sz w:val="16"/>
          <w:szCs w:val="16"/>
        </w:rPr>
      </w:pPr>
      <w:r w:rsidRPr="00EB19D6">
        <w:rPr>
          <w:sz w:val="16"/>
          <w:szCs w:val="16"/>
        </w:rPr>
        <w:t xml:space="preserve"> În cazul unei </w:t>
      </w:r>
      <w:proofErr w:type="spellStart"/>
      <w:r w:rsidRPr="00EB19D6">
        <w:rPr>
          <w:sz w:val="16"/>
          <w:szCs w:val="16"/>
        </w:rPr>
        <w:t>societăţi</w:t>
      </w:r>
      <w:proofErr w:type="spellEnd"/>
      <w:r w:rsidRPr="00EB19D6">
        <w:rPr>
          <w:sz w:val="16"/>
          <w:szCs w:val="16"/>
        </w:rPr>
        <w:t xml:space="preserve"> comerciale în care cel </w:t>
      </w:r>
      <w:proofErr w:type="spellStart"/>
      <w:r w:rsidRPr="00EB19D6">
        <w:rPr>
          <w:sz w:val="16"/>
          <w:szCs w:val="16"/>
        </w:rPr>
        <w:t>puţin</w:t>
      </w:r>
      <w:proofErr w:type="spellEnd"/>
      <w:r w:rsidRPr="00EB19D6">
        <w:rPr>
          <w:sz w:val="16"/>
          <w:szCs w:val="16"/>
        </w:rPr>
        <w:t xml:space="preserve"> unii dintre </w:t>
      </w:r>
      <w:proofErr w:type="spellStart"/>
      <w:r w:rsidRPr="00EB19D6">
        <w:rPr>
          <w:sz w:val="16"/>
          <w:szCs w:val="16"/>
        </w:rPr>
        <w:t>asociaţi</w:t>
      </w:r>
      <w:proofErr w:type="spellEnd"/>
      <w:r w:rsidRPr="00EB19D6">
        <w:rPr>
          <w:sz w:val="16"/>
          <w:szCs w:val="16"/>
        </w:rPr>
        <w:t xml:space="preserve"> au răspundere nelimitată pentru </w:t>
      </w:r>
      <w:proofErr w:type="spellStart"/>
      <w:r w:rsidRPr="00EB19D6">
        <w:rPr>
          <w:sz w:val="16"/>
          <w:szCs w:val="16"/>
        </w:rPr>
        <w:t>creanţele</w:t>
      </w:r>
      <w:proofErr w:type="spellEnd"/>
      <w:r w:rsidRPr="00EB19D6">
        <w:rPr>
          <w:sz w:val="16"/>
          <w:szCs w:val="16"/>
        </w:rPr>
        <w:t xml:space="preserve"> </w:t>
      </w:r>
      <w:proofErr w:type="spellStart"/>
      <w:r w:rsidRPr="00EB19D6">
        <w:rPr>
          <w:sz w:val="16"/>
          <w:szCs w:val="16"/>
        </w:rPr>
        <w:t>societăţii</w:t>
      </w:r>
      <w:proofErr w:type="spellEnd"/>
      <w:r w:rsidRPr="00EB19D6">
        <w:rPr>
          <w:sz w:val="16"/>
          <w:szCs w:val="16"/>
        </w:rPr>
        <w:t xml:space="preserve"> [alta decât un IMM care există de cel </w:t>
      </w:r>
      <w:proofErr w:type="spellStart"/>
      <w:r w:rsidRPr="00EB19D6">
        <w:rPr>
          <w:sz w:val="16"/>
          <w:szCs w:val="16"/>
        </w:rPr>
        <w:t>puţin</w:t>
      </w:r>
      <w:proofErr w:type="spellEnd"/>
      <w:r w:rsidRPr="00EB19D6">
        <w:rPr>
          <w:sz w:val="16"/>
          <w:szCs w:val="16"/>
        </w:rPr>
        <w:t xml:space="preserve"> trei ani sau, în sensul </w:t>
      </w:r>
      <w:proofErr w:type="spellStart"/>
      <w:r w:rsidRPr="00EB19D6">
        <w:rPr>
          <w:sz w:val="16"/>
          <w:szCs w:val="16"/>
        </w:rPr>
        <w:t>eligibilităţii</w:t>
      </w:r>
      <w:proofErr w:type="spellEnd"/>
      <w:r w:rsidRPr="00EB19D6">
        <w:rPr>
          <w:sz w:val="16"/>
          <w:szCs w:val="16"/>
        </w:rPr>
        <w:t xml:space="preserve"> pentru ajutor pentru </w:t>
      </w:r>
      <w:proofErr w:type="spellStart"/>
      <w:r w:rsidRPr="00EB19D6">
        <w:rPr>
          <w:sz w:val="16"/>
          <w:szCs w:val="16"/>
        </w:rPr>
        <w:t>finanţare</w:t>
      </w:r>
      <w:proofErr w:type="spellEnd"/>
      <w:r w:rsidRPr="00EB19D6">
        <w:rPr>
          <w:sz w:val="16"/>
          <w:szCs w:val="16"/>
        </w:rPr>
        <w:t xml:space="preserve"> de risc, un IMM care îndeplinește </w:t>
      </w:r>
      <w:proofErr w:type="spellStart"/>
      <w:r w:rsidRPr="00EB19D6">
        <w:rPr>
          <w:sz w:val="16"/>
          <w:szCs w:val="16"/>
        </w:rPr>
        <w:t>condiţia</w:t>
      </w:r>
      <w:proofErr w:type="spellEnd"/>
      <w:r w:rsidRPr="00EB19D6">
        <w:rPr>
          <w:sz w:val="16"/>
          <w:szCs w:val="16"/>
        </w:rPr>
        <w:t xml:space="preserve"> prevăzută la articolul 21 alineatul (3) litera (b) și care se califică pentru </w:t>
      </w:r>
      <w:proofErr w:type="spellStart"/>
      <w:r w:rsidRPr="00EB19D6">
        <w:rPr>
          <w:sz w:val="16"/>
          <w:szCs w:val="16"/>
        </w:rPr>
        <w:t>investiţii</w:t>
      </w:r>
      <w:proofErr w:type="spellEnd"/>
      <w:r w:rsidRPr="00EB19D6">
        <w:rPr>
          <w:sz w:val="16"/>
          <w:szCs w:val="16"/>
        </w:rPr>
        <w:t xml:space="preserve"> pentru </w:t>
      </w:r>
      <w:proofErr w:type="spellStart"/>
      <w:r w:rsidRPr="00EB19D6">
        <w:rPr>
          <w:sz w:val="16"/>
          <w:szCs w:val="16"/>
        </w:rPr>
        <w:t>finanţare</w:t>
      </w:r>
      <w:proofErr w:type="spellEnd"/>
      <w:r w:rsidRPr="00EB19D6">
        <w:rPr>
          <w:sz w:val="16"/>
          <w:szCs w:val="16"/>
        </w:rPr>
        <w:t xml:space="preserve"> de risc în urma unui proces de </w:t>
      </w:r>
      <w:proofErr w:type="spellStart"/>
      <w:r w:rsidRPr="00EB19D6">
        <w:rPr>
          <w:sz w:val="16"/>
          <w:szCs w:val="16"/>
        </w:rPr>
        <w:t>diligenţă</w:t>
      </w:r>
      <w:proofErr w:type="spellEnd"/>
      <w:r w:rsidRPr="00EB19D6">
        <w:rPr>
          <w:sz w:val="16"/>
          <w:szCs w:val="16"/>
        </w:rPr>
        <w:t xml:space="preserve"> efectuat de un intermediar financiar selectat], atunci când mai mult de jumătate din capitalul propriu așa cum reiese din contabilitatea </w:t>
      </w:r>
      <w:proofErr w:type="spellStart"/>
      <w:r w:rsidRPr="00EB19D6">
        <w:rPr>
          <w:sz w:val="16"/>
          <w:szCs w:val="16"/>
        </w:rPr>
        <w:t>societăţii</w:t>
      </w:r>
      <w:proofErr w:type="spellEnd"/>
      <w:r w:rsidRPr="00EB19D6">
        <w:rPr>
          <w:sz w:val="16"/>
          <w:szCs w:val="16"/>
        </w:rPr>
        <w:t xml:space="preserve"> a dispărut din cauza pierderilor acumulate. În sensul prezentei </w:t>
      </w:r>
      <w:proofErr w:type="spellStart"/>
      <w:r w:rsidRPr="00EB19D6">
        <w:rPr>
          <w:sz w:val="16"/>
          <w:szCs w:val="16"/>
        </w:rPr>
        <w:t>dispoziţii</w:t>
      </w:r>
      <w:proofErr w:type="spellEnd"/>
      <w:r w:rsidRPr="00EB19D6">
        <w:rPr>
          <w:sz w:val="16"/>
          <w:szCs w:val="16"/>
        </w:rPr>
        <w:t xml:space="preserve">, „o societate comercială în care cel </w:t>
      </w:r>
      <w:proofErr w:type="spellStart"/>
      <w:r w:rsidRPr="00EB19D6">
        <w:rPr>
          <w:sz w:val="16"/>
          <w:szCs w:val="16"/>
        </w:rPr>
        <w:t>puţin</w:t>
      </w:r>
      <w:proofErr w:type="spellEnd"/>
      <w:r w:rsidRPr="00EB19D6">
        <w:rPr>
          <w:sz w:val="16"/>
          <w:szCs w:val="16"/>
        </w:rPr>
        <w:t xml:space="preserve"> unii dintre </w:t>
      </w:r>
      <w:proofErr w:type="spellStart"/>
      <w:r w:rsidRPr="00EB19D6">
        <w:rPr>
          <w:sz w:val="16"/>
          <w:szCs w:val="16"/>
        </w:rPr>
        <w:t>asociaţi</w:t>
      </w:r>
      <w:proofErr w:type="spellEnd"/>
      <w:r w:rsidRPr="00EB19D6">
        <w:rPr>
          <w:sz w:val="16"/>
          <w:szCs w:val="16"/>
        </w:rPr>
        <w:t xml:space="preserve"> au răspundere nelimitată pentru </w:t>
      </w:r>
      <w:proofErr w:type="spellStart"/>
      <w:r w:rsidRPr="00EB19D6">
        <w:rPr>
          <w:sz w:val="16"/>
          <w:szCs w:val="16"/>
        </w:rPr>
        <w:t>creanţele</w:t>
      </w:r>
      <w:proofErr w:type="spellEnd"/>
      <w:r w:rsidRPr="00EB19D6">
        <w:rPr>
          <w:sz w:val="16"/>
          <w:szCs w:val="16"/>
        </w:rPr>
        <w:t xml:space="preserve"> </w:t>
      </w:r>
      <w:proofErr w:type="spellStart"/>
      <w:r w:rsidRPr="00EB19D6">
        <w:rPr>
          <w:sz w:val="16"/>
          <w:szCs w:val="16"/>
        </w:rPr>
        <w:t>societăţii</w:t>
      </w:r>
      <w:proofErr w:type="spellEnd"/>
      <w:r w:rsidRPr="00EB19D6">
        <w:rPr>
          <w:sz w:val="16"/>
          <w:szCs w:val="16"/>
        </w:rPr>
        <w:t xml:space="preserve">” se referă în special la acele tipuri de </w:t>
      </w:r>
      <w:proofErr w:type="spellStart"/>
      <w:r w:rsidRPr="00EB19D6">
        <w:rPr>
          <w:sz w:val="16"/>
          <w:szCs w:val="16"/>
        </w:rPr>
        <w:t>societăţi</w:t>
      </w:r>
      <w:proofErr w:type="spellEnd"/>
      <w:r w:rsidRPr="00EB19D6">
        <w:rPr>
          <w:sz w:val="16"/>
          <w:szCs w:val="16"/>
        </w:rPr>
        <w:t xml:space="preserve"> </w:t>
      </w:r>
      <w:proofErr w:type="spellStart"/>
      <w:r w:rsidRPr="00EB19D6">
        <w:rPr>
          <w:sz w:val="16"/>
          <w:szCs w:val="16"/>
        </w:rPr>
        <w:t>menţionate</w:t>
      </w:r>
      <w:proofErr w:type="spellEnd"/>
      <w:r w:rsidRPr="00EB19D6">
        <w:rPr>
          <w:sz w:val="16"/>
          <w:szCs w:val="16"/>
        </w:rPr>
        <w:t xml:space="preserve"> în anexa II la Directiva 2013/34/UE. </w:t>
      </w:r>
    </w:p>
    <w:p w14:paraId="1FE0FC1B" w14:textId="77777777" w:rsidR="00A2073F" w:rsidRDefault="00A2073F" w:rsidP="00A2073F">
      <w:pPr>
        <w:pStyle w:val="ListParagraph"/>
        <w:spacing w:before="0" w:after="0"/>
        <w:rPr>
          <w:sz w:val="16"/>
          <w:szCs w:val="16"/>
        </w:rPr>
      </w:pPr>
    </w:p>
    <w:p w14:paraId="12197B73" w14:textId="77777777" w:rsidR="00A2073F" w:rsidRDefault="00EB19D6" w:rsidP="00A2073F">
      <w:pPr>
        <w:pStyle w:val="ListParagraph"/>
        <w:numPr>
          <w:ilvl w:val="0"/>
          <w:numId w:val="8"/>
        </w:numPr>
        <w:spacing w:before="0" w:after="0"/>
        <w:rPr>
          <w:sz w:val="16"/>
          <w:szCs w:val="16"/>
        </w:rPr>
      </w:pPr>
      <w:r w:rsidRPr="00A2073F">
        <w:rPr>
          <w:sz w:val="16"/>
          <w:szCs w:val="16"/>
        </w:rPr>
        <w:t xml:space="preserve"> Atunci când întreprinderea face obiectul unei proceduri colective de </w:t>
      </w:r>
      <w:proofErr w:type="spellStart"/>
      <w:r w:rsidRPr="00A2073F">
        <w:rPr>
          <w:sz w:val="16"/>
          <w:szCs w:val="16"/>
        </w:rPr>
        <w:t>insolvenţă</w:t>
      </w:r>
      <w:proofErr w:type="spellEnd"/>
      <w:r w:rsidRPr="00A2073F">
        <w:rPr>
          <w:sz w:val="16"/>
          <w:szCs w:val="16"/>
        </w:rPr>
        <w:t xml:space="preserve"> sau îndeplinește criteriile prevăzute în dreptul intern pentru ca o procedură colectivă de </w:t>
      </w:r>
      <w:proofErr w:type="spellStart"/>
      <w:r w:rsidRPr="00A2073F">
        <w:rPr>
          <w:sz w:val="16"/>
          <w:szCs w:val="16"/>
        </w:rPr>
        <w:t>insolvenţă</w:t>
      </w:r>
      <w:proofErr w:type="spellEnd"/>
      <w:r w:rsidRPr="00A2073F">
        <w:rPr>
          <w:sz w:val="16"/>
          <w:szCs w:val="16"/>
        </w:rPr>
        <w:t xml:space="preserve"> să fie deschisă la cererea creditorilor săi.</w:t>
      </w:r>
    </w:p>
    <w:p w14:paraId="16944F04" w14:textId="77777777" w:rsidR="00A2073F" w:rsidRPr="00A2073F" w:rsidRDefault="00A2073F" w:rsidP="00A2073F">
      <w:pPr>
        <w:spacing w:before="0" w:after="0"/>
        <w:ind w:left="0"/>
        <w:rPr>
          <w:sz w:val="16"/>
          <w:szCs w:val="16"/>
        </w:rPr>
      </w:pPr>
    </w:p>
    <w:p w14:paraId="13771835" w14:textId="77777777" w:rsidR="00A2073F" w:rsidRDefault="00EB19D6" w:rsidP="00A2073F">
      <w:pPr>
        <w:pStyle w:val="ListParagraph"/>
        <w:numPr>
          <w:ilvl w:val="0"/>
          <w:numId w:val="8"/>
        </w:numPr>
        <w:spacing w:before="0" w:after="0"/>
        <w:rPr>
          <w:sz w:val="16"/>
          <w:szCs w:val="16"/>
        </w:rPr>
      </w:pPr>
      <w:r w:rsidRPr="00A2073F">
        <w:rPr>
          <w:sz w:val="16"/>
          <w:szCs w:val="16"/>
        </w:rPr>
        <w:t xml:space="preserve">Atunci când întreprinderea a primit ajutor pentru salvare și nu a rambursat încă împrumutul sau nu a încetat </w:t>
      </w:r>
      <w:proofErr w:type="spellStart"/>
      <w:r w:rsidRPr="00A2073F">
        <w:rPr>
          <w:sz w:val="16"/>
          <w:szCs w:val="16"/>
        </w:rPr>
        <w:t>garanţia</w:t>
      </w:r>
      <w:proofErr w:type="spellEnd"/>
      <w:r w:rsidRPr="00A2073F">
        <w:rPr>
          <w:sz w:val="16"/>
          <w:szCs w:val="16"/>
        </w:rPr>
        <w:t xml:space="preserve"> sau a primit ajutoare pentru restructurare și face încă obiectul unui plan de restructurare. </w:t>
      </w:r>
    </w:p>
    <w:p w14:paraId="4448117B" w14:textId="77777777" w:rsidR="00A2073F" w:rsidRPr="00A2073F" w:rsidRDefault="00A2073F" w:rsidP="00A2073F">
      <w:pPr>
        <w:spacing w:before="0" w:after="0"/>
        <w:ind w:left="0"/>
        <w:rPr>
          <w:sz w:val="16"/>
          <w:szCs w:val="16"/>
        </w:rPr>
      </w:pPr>
    </w:p>
    <w:p w14:paraId="6B6EEAA2" w14:textId="5C9D23E6" w:rsidR="00EB19D6" w:rsidRPr="00A2073F" w:rsidRDefault="00EB19D6" w:rsidP="00A2073F">
      <w:pPr>
        <w:pStyle w:val="ListParagraph"/>
        <w:numPr>
          <w:ilvl w:val="0"/>
          <w:numId w:val="8"/>
        </w:numPr>
        <w:spacing w:before="0" w:after="0"/>
        <w:rPr>
          <w:sz w:val="16"/>
          <w:szCs w:val="16"/>
        </w:rPr>
      </w:pPr>
      <w:r w:rsidRPr="00A2073F">
        <w:rPr>
          <w:sz w:val="16"/>
          <w:szCs w:val="16"/>
        </w:rPr>
        <w:t xml:space="preserve"> În cazul unei întreprinderi care nu este un IMM, atunci când, în ultimii doi ani: 1. raportul datorii/capitaluri proprii al întreprinderii este mai mare de 7,5; și 2. capacitatea de acoperire a dobânzilor calculată pe baza EBITDA se situează sub valoarea 1,0.</w:t>
      </w:r>
    </w:p>
    <w:p w14:paraId="192C3FEA" w14:textId="77777777" w:rsidR="00EB19D6" w:rsidRDefault="00EB19D6" w:rsidP="00EB19D6">
      <w:pPr>
        <w:pStyle w:val="ListParagraph"/>
        <w:spacing w:before="0" w:after="0"/>
      </w:pPr>
    </w:p>
    <w:p w14:paraId="40041C85" w14:textId="519CBF9C" w:rsidR="00EB19D6" w:rsidRDefault="00EB19D6">
      <w:pPr>
        <w:pStyle w:val="FootnoteText"/>
      </w:pPr>
    </w:p>
  </w:footnote>
  <w:footnote w:id="2">
    <w:p w14:paraId="0D893591" w14:textId="77777777" w:rsidR="00400C56" w:rsidRDefault="00400C56" w:rsidP="00931CC3">
      <w:pPr>
        <w:pStyle w:val="FootnoteText"/>
        <w:ind w:left="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Cu excepția investițiilor în producția de energie electrică și/sau termică, precum și în infrastructura de transport și de distribuție aferentă, care utilizează gaze naturale, respectând condițiile stabilite în anexa III a Ghidului -Orientări tehnice privind aplicarea principiului de „a nu prejudicia în mod semnificativ” (2021/C58/01).</w:t>
      </w:r>
    </w:p>
  </w:footnote>
  <w:footnote w:id="3">
    <w:p w14:paraId="63D8A64F" w14:textId="77777777" w:rsidR="00400C56" w:rsidRDefault="00400C56" w:rsidP="00931CC3">
      <w:pPr>
        <w:pStyle w:val="FootnoteText"/>
        <w:ind w:left="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Valorile de referință stabilite pentru alocarea cu titlu gratuit pentru activitățile / instalațiile care intra in sfera de aplicabilitate a sistemul UE de comercializare a certificatelor de emisii, in conformitate cu Regulamentul de punere in aplicare (UE) 2021/447.</w:t>
      </w:r>
    </w:p>
  </w:footnote>
  <w:footnote w:id="4">
    <w:p w14:paraId="09710C1B" w14:textId="77777777" w:rsidR="00400C56" w:rsidRDefault="00400C56" w:rsidP="00931CC3">
      <w:pPr>
        <w:pStyle w:val="FootnoteText"/>
        <w:ind w:left="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Această excludere nu se aplică investițiilor în instalații dedicate exclusiv tratării deșeurilor periculoase nereciclabile și nici instalațiilor existente, în cazul în care investiția are ca scop creșterea eficienței energetice, captarea gazelor de eșapament pentru depozitare sau utilizare sau recuperarea materialelor din cenușa de incinerare, cu condiția ca aceste investiții să nu ducă la o creștere a capacității de tratare a deșeurilor în instalații sau la o prelungire a duratei de viață a instalației pentru care se face dovada.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Layout w:type="fixed"/>
      <w:tblLook w:val="0400" w:firstRow="0" w:lastRow="0" w:firstColumn="0" w:lastColumn="0" w:noHBand="0" w:noVBand="1"/>
    </w:tblPr>
    <w:tblGrid>
      <w:gridCol w:w="1777"/>
      <w:gridCol w:w="7154"/>
    </w:tblGrid>
    <w:tr w:rsidR="00A213FE" w14:paraId="3D7B8351" w14:textId="77777777" w:rsidTr="00A709C1">
      <w:trPr>
        <w:trHeight w:val="1343"/>
      </w:trPr>
      <w:tc>
        <w:tcPr>
          <w:tcW w:w="1777" w:type="dxa"/>
          <w:shd w:val="clear" w:color="auto" w:fill="auto"/>
          <w:vAlign w:val="center"/>
        </w:tcPr>
        <w:p w14:paraId="6805B1F3" w14:textId="1B2E5C4F" w:rsidR="00A213FE" w:rsidRDefault="00A213FE" w:rsidP="00A213FE">
          <w:pPr>
            <w:pBdr>
              <w:top w:val="nil"/>
              <w:left w:val="nil"/>
              <w:bottom w:val="nil"/>
              <w:right w:val="nil"/>
              <w:between w:val="nil"/>
            </w:pBdr>
            <w:tabs>
              <w:tab w:val="center" w:pos="4536"/>
              <w:tab w:val="right" w:pos="9072"/>
            </w:tabs>
            <w:spacing w:before="0" w:after="0"/>
            <w:ind w:left="28"/>
            <w:rPr>
              <w:color w:val="000000"/>
            </w:rPr>
          </w:pPr>
          <w:bookmarkStart w:id="7" w:name="_Hlk142137302"/>
          <w:r>
            <w:rPr>
              <w:noProof/>
              <w:color w:val="000000"/>
            </w:rPr>
            <w:drawing>
              <wp:inline distT="0" distB="0" distL="0" distR="0" wp14:anchorId="46699B3C" wp14:editId="5C751A59">
                <wp:extent cx="914400" cy="914400"/>
                <wp:effectExtent l="0" t="0" r="0" b="0"/>
                <wp:docPr id="339171245" name="Picture 339171245" descr="Description: C:\Users\COSTAC~1\AppData\Local\Temp\Rar$DIa0.229\sigla_guv_coroana_albastru_fundal alb.png"/>
                <wp:cNvGraphicFramePr/>
                <a:graphic xmlns:a="http://schemas.openxmlformats.org/drawingml/2006/main">
                  <a:graphicData uri="http://schemas.openxmlformats.org/drawingml/2006/picture">
                    <pic:pic xmlns:pic="http://schemas.openxmlformats.org/drawingml/2006/picture">
                      <pic:nvPicPr>
                        <pic:cNvPr id="0" name="image1.png" descr="Description: C:\Users\COSTAC~1\AppData\Local\Temp\Rar$DIa0.229\sigla_guv_coroana_albastru_fundal alb.png"/>
                        <pic:cNvPicPr preferRelativeResize="0"/>
                      </pic:nvPicPr>
                      <pic:blipFill>
                        <a:blip r:embed="rId1"/>
                        <a:srcRect/>
                        <a:stretch>
                          <a:fillRect/>
                        </a:stretch>
                      </pic:blipFill>
                      <pic:spPr>
                        <a:xfrm>
                          <a:off x="0" y="0"/>
                          <a:ext cx="914400" cy="914400"/>
                        </a:xfrm>
                        <a:prstGeom prst="rect">
                          <a:avLst/>
                        </a:prstGeom>
                        <a:ln/>
                      </pic:spPr>
                    </pic:pic>
                  </a:graphicData>
                </a:graphic>
              </wp:inline>
            </w:drawing>
          </w:r>
        </w:p>
      </w:tc>
      <w:tc>
        <w:tcPr>
          <w:tcW w:w="7154" w:type="dxa"/>
          <w:shd w:val="clear" w:color="auto" w:fill="auto"/>
          <w:vAlign w:val="center"/>
        </w:tcPr>
        <w:p w14:paraId="3D88A054" w14:textId="77777777" w:rsidR="00A213FE" w:rsidRDefault="00A213FE" w:rsidP="00A213FE">
          <w:pPr>
            <w:pBdr>
              <w:top w:val="nil"/>
              <w:left w:val="nil"/>
              <w:bottom w:val="nil"/>
              <w:right w:val="nil"/>
              <w:between w:val="nil"/>
            </w:pBdr>
            <w:ind w:left="-47"/>
            <w:rPr>
              <w:rFonts w:ascii="Trajan Pro" w:eastAsia="Trajan Pro" w:hAnsi="Trajan Pro" w:cs="Trajan Pro"/>
              <w:color w:val="000000"/>
              <w:sz w:val="32"/>
              <w:szCs w:val="32"/>
            </w:rPr>
          </w:pPr>
          <w:r>
            <w:rPr>
              <w:rFonts w:ascii="Trajan Pro" w:eastAsia="Trajan Pro" w:hAnsi="Trajan Pro" w:cs="Trajan Pro"/>
              <w:color w:val="000000"/>
              <w:sz w:val="32"/>
              <w:szCs w:val="32"/>
            </w:rPr>
            <w:t>Ministerul Investițiilor și Proiectelor Europene</w:t>
          </w:r>
        </w:p>
      </w:tc>
    </w:tr>
    <w:bookmarkEnd w:id="7"/>
  </w:tbl>
  <w:p w14:paraId="781E35C9" w14:textId="587EFFF6" w:rsidR="00A213FE" w:rsidRDefault="00A213FE">
    <w:pPr>
      <w:pStyle w:val="Header"/>
    </w:pPr>
  </w:p>
  <w:p w14:paraId="3A0777D1"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E07"/>
    <w:multiLevelType w:val="hybridMultilevel"/>
    <w:tmpl w:val="F1A049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A65A7"/>
    <w:multiLevelType w:val="hybridMultilevel"/>
    <w:tmpl w:val="534866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9268B"/>
    <w:multiLevelType w:val="hybridMultilevel"/>
    <w:tmpl w:val="B4BC3F8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 w15:restartNumberingAfterBreak="0">
    <w:nsid w:val="1BA11852"/>
    <w:multiLevelType w:val="multilevel"/>
    <w:tmpl w:val="935C99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8FA3801"/>
    <w:multiLevelType w:val="hybridMultilevel"/>
    <w:tmpl w:val="6A640D6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B66E1B"/>
    <w:multiLevelType w:val="hybridMultilevel"/>
    <w:tmpl w:val="4ECC3EC6"/>
    <w:lvl w:ilvl="0" w:tplc="D99E0CC6">
      <w:start w:val="1"/>
      <w:numFmt w:val="lowerLetter"/>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841EF3"/>
    <w:multiLevelType w:val="hybridMultilevel"/>
    <w:tmpl w:val="F3524940"/>
    <w:lvl w:ilvl="0" w:tplc="8EB683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865121"/>
    <w:multiLevelType w:val="hybridMultilevel"/>
    <w:tmpl w:val="2F02B2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A12A4F"/>
    <w:multiLevelType w:val="multilevel"/>
    <w:tmpl w:val="BBE605EE"/>
    <w:lvl w:ilvl="0">
      <w:start w:val="1"/>
      <w:numFmt w:val="decimal"/>
      <w:pStyle w:val="Heading1"/>
      <w:lvlText w:val="%1."/>
      <w:lvlJc w:val="left"/>
      <w:pPr>
        <w:ind w:left="1080" w:hanging="360"/>
      </w:pPr>
    </w:lvl>
    <w:lvl w:ilvl="1">
      <w:start w:val="1"/>
      <w:numFmt w:val="lowerLetter"/>
      <w:pStyle w:val="Heading2"/>
      <w:lvlText w:val="%2."/>
      <w:lvlJc w:val="left"/>
      <w:pPr>
        <w:ind w:left="1800" w:hanging="360"/>
      </w:pPr>
    </w:lvl>
    <w:lvl w:ilvl="2">
      <w:start w:val="1"/>
      <w:numFmt w:val="lowerRoman"/>
      <w:pStyle w:val="Heading3"/>
      <w:lvlText w:val="%3."/>
      <w:lvlJc w:val="right"/>
      <w:pPr>
        <w:ind w:left="2520" w:hanging="180"/>
      </w:pPr>
    </w:lvl>
    <w:lvl w:ilvl="3">
      <w:start w:val="1"/>
      <w:numFmt w:val="decimal"/>
      <w:pStyle w:val="Heading4"/>
      <w:lvlText w:val="%4."/>
      <w:lvlJc w:val="left"/>
      <w:pPr>
        <w:ind w:left="3240" w:hanging="360"/>
      </w:pPr>
    </w:lvl>
    <w:lvl w:ilvl="4">
      <w:start w:val="1"/>
      <w:numFmt w:val="lowerLetter"/>
      <w:pStyle w:val="Heading5"/>
      <w:lvlText w:val="%5."/>
      <w:lvlJc w:val="left"/>
      <w:pPr>
        <w:ind w:left="3960" w:hanging="360"/>
      </w:pPr>
    </w:lvl>
    <w:lvl w:ilvl="5">
      <w:start w:val="1"/>
      <w:numFmt w:val="lowerRoman"/>
      <w:pStyle w:val="Heading6"/>
      <w:lvlText w:val="%6."/>
      <w:lvlJc w:val="right"/>
      <w:pPr>
        <w:ind w:left="4680" w:hanging="180"/>
      </w:pPr>
    </w:lvl>
    <w:lvl w:ilvl="6">
      <w:start w:val="1"/>
      <w:numFmt w:val="decimal"/>
      <w:pStyle w:val="Heading7"/>
      <w:lvlText w:val="%7."/>
      <w:lvlJc w:val="left"/>
      <w:pPr>
        <w:ind w:left="5400" w:hanging="360"/>
      </w:pPr>
    </w:lvl>
    <w:lvl w:ilvl="7">
      <w:start w:val="1"/>
      <w:numFmt w:val="lowerLetter"/>
      <w:pStyle w:val="Heading8"/>
      <w:lvlText w:val="%8."/>
      <w:lvlJc w:val="left"/>
      <w:pPr>
        <w:ind w:left="6120" w:hanging="360"/>
      </w:pPr>
    </w:lvl>
    <w:lvl w:ilvl="8">
      <w:start w:val="1"/>
      <w:numFmt w:val="lowerRoman"/>
      <w:pStyle w:val="Heading9"/>
      <w:lvlText w:val="%9."/>
      <w:lvlJc w:val="right"/>
      <w:pPr>
        <w:ind w:left="6840" w:hanging="180"/>
      </w:pPr>
    </w:lvl>
  </w:abstractNum>
  <w:abstractNum w:abstractNumId="9" w15:restartNumberingAfterBreak="0">
    <w:nsid w:val="50BD1730"/>
    <w:multiLevelType w:val="hybridMultilevel"/>
    <w:tmpl w:val="0706B0C6"/>
    <w:lvl w:ilvl="0" w:tplc="38FEB1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A17113"/>
    <w:multiLevelType w:val="hybridMultilevel"/>
    <w:tmpl w:val="5A52969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1F679E"/>
    <w:multiLevelType w:val="hybridMultilevel"/>
    <w:tmpl w:val="4AFE668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EA3489"/>
    <w:multiLevelType w:val="multilevel"/>
    <w:tmpl w:val="6A28DE60"/>
    <w:lvl w:ilvl="0">
      <w:start w:val="14"/>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619A2156"/>
    <w:multiLevelType w:val="hybridMultilevel"/>
    <w:tmpl w:val="4E242412"/>
    <w:lvl w:ilvl="0" w:tplc="1B84EC7C">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E1A9CFA">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790E6C"/>
    <w:multiLevelType w:val="hybridMultilevel"/>
    <w:tmpl w:val="FD86A1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C53FD7"/>
    <w:multiLevelType w:val="hybridMultilevel"/>
    <w:tmpl w:val="4E242412"/>
    <w:lvl w:ilvl="0" w:tplc="FFFFFFFF">
      <w:start w:val="1"/>
      <w:numFmt w:val="lowerLetter"/>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Roman"/>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C026A71"/>
    <w:multiLevelType w:val="hybridMultilevel"/>
    <w:tmpl w:val="F1A049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FA060F3"/>
    <w:multiLevelType w:val="multilevel"/>
    <w:tmpl w:val="3E72FD2E"/>
    <w:lvl w:ilvl="0">
      <w:numFmt w:val="bullet"/>
      <w:lvlText w:val="-"/>
      <w:lvlJc w:val="left"/>
      <w:pPr>
        <w:ind w:left="1440" w:hanging="360"/>
      </w:pPr>
      <w:rPr>
        <w:rFonts w:ascii="Calibri" w:eastAsia="Calibri" w:hAnsi="Calibri" w:cs="Calibr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840386852">
    <w:abstractNumId w:val="8"/>
  </w:num>
  <w:num w:numId="2" w16cid:durableId="923954656">
    <w:abstractNumId w:val="3"/>
  </w:num>
  <w:num w:numId="3" w16cid:durableId="973490681">
    <w:abstractNumId w:val="2"/>
  </w:num>
  <w:num w:numId="4" w16cid:durableId="1705255689">
    <w:abstractNumId w:val="12"/>
  </w:num>
  <w:num w:numId="5" w16cid:durableId="1171334431">
    <w:abstractNumId w:val="7"/>
  </w:num>
  <w:num w:numId="6" w16cid:durableId="2049838503">
    <w:abstractNumId w:val="0"/>
  </w:num>
  <w:num w:numId="7" w16cid:durableId="1327129144">
    <w:abstractNumId w:val="16"/>
  </w:num>
  <w:num w:numId="8" w16cid:durableId="148444138">
    <w:abstractNumId w:val="9"/>
  </w:num>
  <w:num w:numId="9" w16cid:durableId="1638873149">
    <w:abstractNumId w:val="6"/>
  </w:num>
  <w:num w:numId="10" w16cid:durableId="1543596561">
    <w:abstractNumId w:val="14"/>
  </w:num>
  <w:num w:numId="11" w16cid:durableId="1361400206">
    <w:abstractNumId w:val="11"/>
  </w:num>
  <w:num w:numId="12" w16cid:durableId="2032878852">
    <w:abstractNumId w:val="10"/>
  </w:num>
  <w:num w:numId="13" w16cid:durableId="715550564">
    <w:abstractNumId w:val="13"/>
  </w:num>
  <w:num w:numId="14" w16cid:durableId="231358090">
    <w:abstractNumId w:val="1"/>
  </w:num>
  <w:num w:numId="15" w16cid:durableId="16274492">
    <w:abstractNumId w:val="5"/>
  </w:num>
  <w:num w:numId="16" w16cid:durableId="1249995074">
    <w:abstractNumId w:val="15"/>
  </w:num>
  <w:num w:numId="17" w16cid:durableId="1846168895">
    <w:abstractNumId w:val="4"/>
  </w:num>
  <w:num w:numId="18" w16cid:durableId="1370834571">
    <w:abstractNumId w:val="8"/>
  </w:num>
  <w:num w:numId="19" w16cid:durableId="89981864">
    <w:abstractNumId w:val="8"/>
  </w:num>
  <w:num w:numId="20" w16cid:durableId="1787895053">
    <w:abstractNumId w:val="8"/>
  </w:num>
  <w:num w:numId="21" w16cid:durableId="1928296797">
    <w:abstractNumId w:val="8"/>
  </w:num>
  <w:num w:numId="22" w16cid:durableId="122575409">
    <w:abstractNumId w:val="8"/>
  </w:num>
  <w:num w:numId="23" w16cid:durableId="6862566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6EB"/>
    <w:rsid w:val="00137442"/>
    <w:rsid w:val="001A557C"/>
    <w:rsid w:val="00225258"/>
    <w:rsid w:val="002C36EB"/>
    <w:rsid w:val="002E6B3D"/>
    <w:rsid w:val="00400C56"/>
    <w:rsid w:val="0048322C"/>
    <w:rsid w:val="0053008F"/>
    <w:rsid w:val="006006A2"/>
    <w:rsid w:val="00705D85"/>
    <w:rsid w:val="00771AA7"/>
    <w:rsid w:val="00853AAB"/>
    <w:rsid w:val="008D1192"/>
    <w:rsid w:val="00931CC3"/>
    <w:rsid w:val="009D409C"/>
    <w:rsid w:val="00A2073F"/>
    <w:rsid w:val="00A213FE"/>
    <w:rsid w:val="00A933AF"/>
    <w:rsid w:val="00A948BF"/>
    <w:rsid w:val="00C501E3"/>
    <w:rsid w:val="00CA1374"/>
    <w:rsid w:val="00DD4CAC"/>
    <w:rsid w:val="00DD57F8"/>
    <w:rsid w:val="00DF73F9"/>
    <w:rsid w:val="00E235F5"/>
    <w:rsid w:val="00EB19D6"/>
    <w:rsid w:val="00F42F13"/>
    <w:rsid w:val="00F8603E"/>
    <w:rsid w:val="00FA22A0"/>
    <w:rsid w:val="00FE0BE0"/>
    <w:rsid w:val="00FF4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EF735"/>
  <w15:chartTrackingRefBased/>
  <w15:docId w15:val="{15790054-A70E-4B4A-89E7-032214EB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3FE"/>
    <w:pPr>
      <w:spacing w:before="120" w:after="120" w:line="240" w:lineRule="auto"/>
      <w:ind w:left="720"/>
      <w:jc w:val="both"/>
    </w:pPr>
    <w:rPr>
      <w:rFonts w:ascii="Calibri" w:eastAsia="Calibri" w:hAnsi="Calibri" w:cs="Calibri"/>
      <w:kern w:val="0"/>
      <w:lang w:val="ro-RO"/>
      <w14:ligatures w14:val="none"/>
    </w:rPr>
  </w:style>
  <w:style w:type="paragraph" w:styleId="Heading1">
    <w:name w:val="heading 1"/>
    <w:basedOn w:val="Normal"/>
    <w:next w:val="Normal"/>
    <w:link w:val="Heading1Char"/>
    <w:uiPriority w:val="9"/>
    <w:qFormat/>
    <w:rsid w:val="00A213FE"/>
    <w:pPr>
      <w:keepNext/>
      <w:keepLines/>
      <w:numPr>
        <w:numId w:val="1"/>
      </w:numPr>
      <w:spacing w:before="240" w:after="240"/>
      <w:outlineLvl w:val="0"/>
    </w:pPr>
    <w:rPr>
      <w:rFonts w:asciiTheme="majorHAnsi" w:eastAsiaTheme="majorEastAsia" w:hAnsiTheme="majorHAnsi" w:cstheme="majorBidi"/>
      <w:color w:val="4472C4" w:themeColor="accent1"/>
      <w:sz w:val="32"/>
      <w:szCs w:val="32"/>
    </w:rPr>
  </w:style>
  <w:style w:type="paragraph" w:styleId="Heading2">
    <w:name w:val="heading 2"/>
    <w:basedOn w:val="Normal"/>
    <w:next w:val="Normal"/>
    <w:link w:val="Heading2Char"/>
    <w:uiPriority w:val="9"/>
    <w:unhideWhenUsed/>
    <w:qFormat/>
    <w:rsid w:val="00A213FE"/>
    <w:pPr>
      <w:keepNext/>
      <w:keepLines/>
      <w:numPr>
        <w:ilvl w:val="1"/>
        <w:numId w:val="1"/>
      </w:numPr>
      <w:spacing w:before="240" w:after="0"/>
      <w:outlineLvl w:val="1"/>
    </w:pPr>
    <w:rPr>
      <w:rFonts w:asciiTheme="majorHAnsi" w:eastAsiaTheme="majorEastAsia" w:hAnsiTheme="majorHAnsi" w:cstheme="majorBidi"/>
      <w:color w:val="4472C4" w:themeColor="accent1"/>
      <w:sz w:val="28"/>
      <w:szCs w:val="26"/>
    </w:rPr>
  </w:style>
  <w:style w:type="paragraph" w:styleId="Heading3">
    <w:name w:val="heading 3"/>
    <w:basedOn w:val="Normal"/>
    <w:next w:val="Normal"/>
    <w:link w:val="Heading3Char"/>
    <w:uiPriority w:val="9"/>
    <w:unhideWhenUsed/>
    <w:qFormat/>
    <w:rsid w:val="00A213FE"/>
    <w:pPr>
      <w:keepNext/>
      <w:keepLines/>
      <w:numPr>
        <w:ilvl w:val="2"/>
        <w:numId w:val="1"/>
      </w:numPr>
      <w:spacing w:after="0"/>
      <w:outlineLvl w:val="2"/>
    </w:pPr>
    <w:rPr>
      <w:rFonts w:asciiTheme="majorHAnsi" w:eastAsiaTheme="majorEastAsia" w:hAnsiTheme="majorHAnsi" w:cstheme="majorBidi"/>
      <w:b/>
      <w:color w:val="4472C4" w:themeColor="accent1"/>
      <w:sz w:val="24"/>
      <w:szCs w:val="24"/>
    </w:rPr>
  </w:style>
  <w:style w:type="paragraph" w:styleId="Heading4">
    <w:name w:val="heading 4"/>
    <w:basedOn w:val="Normal"/>
    <w:next w:val="Normal"/>
    <w:link w:val="Heading4Char"/>
    <w:uiPriority w:val="9"/>
    <w:unhideWhenUsed/>
    <w:qFormat/>
    <w:rsid w:val="00A213F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213F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213F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213F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213F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213F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3FE"/>
    <w:rPr>
      <w:rFonts w:asciiTheme="majorHAnsi" w:eastAsiaTheme="majorEastAsia" w:hAnsiTheme="majorHAnsi" w:cstheme="majorBidi"/>
      <w:color w:val="4472C4" w:themeColor="accent1"/>
      <w:kern w:val="0"/>
      <w:sz w:val="32"/>
      <w:szCs w:val="32"/>
      <w:lang w:val="ro-RO"/>
      <w14:ligatures w14:val="none"/>
    </w:rPr>
  </w:style>
  <w:style w:type="character" w:customStyle="1" w:styleId="Heading2Char">
    <w:name w:val="Heading 2 Char"/>
    <w:basedOn w:val="DefaultParagraphFont"/>
    <w:link w:val="Heading2"/>
    <w:uiPriority w:val="9"/>
    <w:rsid w:val="00A213FE"/>
    <w:rPr>
      <w:rFonts w:asciiTheme="majorHAnsi" w:eastAsiaTheme="majorEastAsia" w:hAnsiTheme="majorHAnsi" w:cstheme="majorBidi"/>
      <w:color w:val="4472C4" w:themeColor="accent1"/>
      <w:kern w:val="0"/>
      <w:sz w:val="28"/>
      <w:szCs w:val="26"/>
      <w:lang w:val="ro-RO"/>
      <w14:ligatures w14:val="none"/>
    </w:rPr>
  </w:style>
  <w:style w:type="character" w:customStyle="1" w:styleId="Heading3Char">
    <w:name w:val="Heading 3 Char"/>
    <w:basedOn w:val="DefaultParagraphFont"/>
    <w:link w:val="Heading3"/>
    <w:uiPriority w:val="9"/>
    <w:rsid w:val="00A213FE"/>
    <w:rPr>
      <w:rFonts w:asciiTheme="majorHAnsi" w:eastAsiaTheme="majorEastAsia" w:hAnsiTheme="majorHAnsi" w:cstheme="majorBidi"/>
      <w:b/>
      <w:color w:val="4472C4" w:themeColor="accent1"/>
      <w:kern w:val="0"/>
      <w:sz w:val="24"/>
      <w:szCs w:val="24"/>
      <w:lang w:val="ro-RO"/>
      <w14:ligatures w14:val="none"/>
    </w:rPr>
  </w:style>
  <w:style w:type="character" w:customStyle="1" w:styleId="Heading4Char">
    <w:name w:val="Heading 4 Char"/>
    <w:basedOn w:val="DefaultParagraphFont"/>
    <w:link w:val="Heading4"/>
    <w:uiPriority w:val="9"/>
    <w:rsid w:val="00A213FE"/>
    <w:rPr>
      <w:rFonts w:asciiTheme="majorHAnsi" w:eastAsiaTheme="majorEastAsia" w:hAnsiTheme="majorHAnsi" w:cstheme="majorBidi"/>
      <w:i/>
      <w:iCs/>
      <w:color w:val="2F5496" w:themeColor="accent1" w:themeShade="BF"/>
      <w:kern w:val="0"/>
      <w:lang w:val="ro-RO"/>
      <w14:ligatures w14:val="none"/>
    </w:rPr>
  </w:style>
  <w:style w:type="character" w:customStyle="1" w:styleId="Heading5Char">
    <w:name w:val="Heading 5 Char"/>
    <w:basedOn w:val="DefaultParagraphFont"/>
    <w:link w:val="Heading5"/>
    <w:uiPriority w:val="9"/>
    <w:semiHidden/>
    <w:rsid w:val="00A213FE"/>
    <w:rPr>
      <w:rFonts w:asciiTheme="majorHAnsi" w:eastAsiaTheme="majorEastAsia" w:hAnsiTheme="majorHAnsi" w:cstheme="majorBidi"/>
      <w:color w:val="2F5496" w:themeColor="accent1" w:themeShade="BF"/>
      <w:kern w:val="0"/>
      <w:lang w:val="ro-RO"/>
      <w14:ligatures w14:val="none"/>
    </w:rPr>
  </w:style>
  <w:style w:type="character" w:customStyle="1" w:styleId="Heading6Char">
    <w:name w:val="Heading 6 Char"/>
    <w:basedOn w:val="DefaultParagraphFont"/>
    <w:link w:val="Heading6"/>
    <w:uiPriority w:val="9"/>
    <w:semiHidden/>
    <w:rsid w:val="00A213FE"/>
    <w:rPr>
      <w:rFonts w:asciiTheme="majorHAnsi" w:eastAsiaTheme="majorEastAsia" w:hAnsiTheme="majorHAnsi" w:cstheme="majorBidi"/>
      <w:color w:val="1F3763" w:themeColor="accent1" w:themeShade="7F"/>
      <w:kern w:val="0"/>
      <w:lang w:val="ro-RO"/>
      <w14:ligatures w14:val="none"/>
    </w:rPr>
  </w:style>
  <w:style w:type="character" w:customStyle="1" w:styleId="Heading7Char">
    <w:name w:val="Heading 7 Char"/>
    <w:basedOn w:val="DefaultParagraphFont"/>
    <w:link w:val="Heading7"/>
    <w:uiPriority w:val="9"/>
    <w:semiHidden/>
    <w:rsid w:val="00A213FE"/>
    <w:rPr>
      <w:rFonts w:asciiTheme="majorHAnsi" w:eastAsiaTheme="majorEastAsia" w:hAnsiTheme="majorHAnsi" w:cstheme="majorBidi"/>
      <w:i/>
      <w:iCs/>
      <w:color w:val="1F3763" w:themeColor="accent1" w:themeShade="7F"/>
      <w:kern w:val="0"/>
      <w:lang w:val="ro-RO"/>
      <w14:ligatures w14:val="none"/>
    </w:rPr>
  </w:style>
  <w:style w:type="character" w:customStyle="1" w:styleId="Heading8Char">
    <w:name w:val="Heading 8 Char"/>
    <w:basedOn w:val="DefaultParagraphFont"/>
    <w:link w:val="Heading8"/>
    <w:uiPriority w:val="9"/>
    <w:semiHidden/>
    <w:rsid w:val="00A213FE"/>
    <w:rPr>
      <w:rFonts w:asciiTheme="majorHAnsi" w:eastAsiaTheme="majorEastAsia" w:hAnsiTheme="majorHAnsi" w:cstheme="majorBidi"/>
      <w:color w:val="272727" w:themeColor="text1" w:themeTint="D8"/>
      <w:kern w:val="0"/>
      <w:sz w:val="21"/>
      <w:szCs w:val="21"/>
      <w:lang w:val="ro-RO"/>
      <w14:ligatures w14:val="none"/>
    </w:rPr>
  </w:style>
  <w:style w:type="character" w:customStyle="1" w:styleId="Heading9Char">
    <w:name w:val="Heading 9 Char"/>
    <w:basedOn w:val="DefaultParagraphFont"/>
    <w:link w:val="Heading9"/>
    <w:uiPriority w:val="9"/>
    <w:semiHidden/>
    <w:rsid w:val="00A213FE"/>
    <w:rPr>
      <w:rFonts w:asciiTheme="majorHAnsi" w:eastAsiaTheme="majorEastAsia" w:hAnsiTheme="majorHAnsi" w:cstheme="majorBidi"/>
      <w:i/>
      <w:iCs/>
      <w:color w:val="272727" w:themeColor="text1" w:themeTint="D8"/>
      <w:kern w:val="0"/>
      <w:sz w:val="21"/>
      <w:szCs w:val="21"/>
      <w:lang w:val="ro-RO"/>
      <w14:ligatures w14:val="none"/>
    </w:rPr>
  </w:style>
  <w:style w:type="paragraph" w:styleId="ListParagraph">
    <w:name w:val="List Paragraph"/>
    <w:aliases w:val="Akapit z listą BS,Outlines a.b.c.,List_Paragraph,Multilevel para_II,Akapit z lista BS,List Paragraph1,Normal bullet 2,List Paragraph compact,Paragraphe de liste 2,Reference list,Bullet list,Numbered List,1st level - Bullet List Paragraph"/>
    <w:basedOn w:val="Normal"/>
    <w:link w:val="ListParagraphChar"/>
    <w:uiPriority w:val="34"/>
    <w:qFormat/>
    <w:rsid w:val="00A213FE"/>
    <w:pPr>
      <w:contextualSpacing/>
    </w:pPr>
  </w:style>
  <w:style w:type="character" w:customStyle="1" w:styleId="ListParagraphChar">
    <w:name w:val="List Paragraph Char"/>
    <w:aliases w:val="Akapit z listą BS Char,Outlines a.b.c. Char,List_Paragraph Char,Multilevel para_II Char,Akapit z lista BS Char,List Paragraph1 Char,Normal bullet 2 Char,List Paragraph compact Char,Paragraphe de liste 2 Char,Reference list Char"/>
    <w:link w:val="ListParagraph"/>
    <w:uiPriority w:val="34"/>
    <w:qFormat/>
    <w:locked/>
    <w:rsid w:val="00A213FE"/>
    <w:rPr>
      <w:rFonts w:ascii="Calibri" w:eastAsia="Calibri" w:hAnsi="Calibri" w:cs="Calibri"/>
      <w:kern w:val="0"/>
      <w:lang w:val="ro-RO"/>
      <w14:ligatures w14:val="none"/>
    </w:rPr>
  </w:style>
  <w:style w:type="character" w:customStyle="1" w:styleId="5NormalChar">
    <w:name w:val="5 Normal Char"/>
    <w:link w:val="5Normal"/>
    <w:locked/>
    <w:rsid w:val="00A213FE"/>
    <w:rPr>
      <w:rFonts w:ascii="Trebuchet MS" w:hAnsi="Trebuchet MS"/>
      <w:spacing w:val="-2"/>
      <w:szCs w:val="24"/>
    </w:rPr>
  </w:style>
  <w:style w:type="paragraph" w:customStyle="1" w:styleId="5Normal">
    <w:name w:val="5 Normal"/>
    <w:basedOn w:val="Normal"/>
    <w:link w:val="5NormalChar"/>
    <w:qFormat/>
    <w:rsid w:val="00A213F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before="0"/>
      <w:ind w:left="0" w:right="57"/>
    </w:pPr>
    <w:rPr>
      <w:rFonts w:ascii="Trebuchet MS" w:eastAsiaTheme="minorHAnsi" w:hAnsi="Trebuchet MS" w:cstheme="minorBidi"/>
      <w:spacing w:val="-2"/>
      <w:kern w:val="2"/>
      <w:szCs w:val="24"/>
      <w:lang w:val="en-US"/>
      <w14:ligatures w14:val="standardContextual"/>
    </w:rPr>
  </w:style>
  <w:style w:type="character" w:customStyle="1" w:styleId="FontStyle37">
    <w:name w:val="Font Style37"/>
    <w:uiPriority w:val="99"/>
    <w:rsid w:val="00A213FE"/>
    <w:rPr>
      <w:rFonts w:ascii="Calibri" w:hAnsi="Calibri" w:cs="Calibri" w:hint="default"/>
      <w:sz w:val="22"/>
      <w:szCs w:val="22"/>
    </w:rPr>
  </w:style>
  <w:style w:type="character" w:customStyle="1" w:styleId="sden">
    <w:name w:val="s_den"/>
    <w:basedOn w:val="DefaultParagraphFont"/>
    <w:rsid w:val="00A213FE"/>
  </w:style>
  <w:style w:type="table" w:styleId="TableGrid">
    <w:name w:val="Table Grid"/>
    <w:basedOn w:val="TableNormal"/>
    <w:uiPriority w:val="39"/>
    <w:rsid w:val="00A21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13FE"/>
    <w:pPr>
      <w:tabs>
        <w:tab w:val="center" w:pos="4680"/>
        <w:tab w:val="right" w:pos="9360"/>
      </w:tabs>
      <w:spacing w:before="0" w:after="0"/>
    </w:pPr>
  </w:style>
  <w:style w:type="character" w:customStyle="1" w:styleId="HeaderChar">
    <w:name w:val="Header Char"/>
    <w:basedOn w:val="DefaultParagraphFont"/>
    <w:link w:val="Header"/>
    <w:uiPriority w:val="99"/>
    <w:rsid w:val="00A213FE"/>
    <w:rPr>
      <w:rFonts w:ascii="Calibri" w:eastAsia="Calibri" w:hAnsi="Calibri" w:cs="Calibri"/>
      <w:kern w:val="0"/>
      <w:lang w:val="ro-RO"/>
      <w14:ligatures w14:val="none"/>
    </w:rPr>
  </w:style>
  <w:style w:type="paragraph" w:styleId="Footer">
    <w:name w:val="footer"/>
    <w:basedOn w:val="Normal"/>
    <w:link w:val="FooterChar"/>
    <w:uiPriority w:val="99"/>
    <w:unhideWhenUsed/>
    <w:rsid w:val="00A213FE"/>
    <w:pPr>
      <w:tabs>
        <w:tab w:val="center" w:pos="4680"/>
        <w:tab w:val="right" w:pos="9360"/>
      </w:tabs>
      <w:spacing w:before="0" w:after="0"/>
    </w:pPr>
  </w:style>
  <w:style w:type="character" w:customStyle="1" w:styleId="FooterChar">
    <w:name w:val="Footer Char"/>
    <w:basedOn w:val="DefaultParagraphFont"/>
    <w:link w:val="Footer"/>
    <w:uiPriority w:val="99"/>
    <w:rsid w:val="00A213FE"/>
    <w:rPr>
      <w:rFonts w:ascii="Calibri" w:eastAsia="Calibri" w:hAnsi="Calibri" w:cs="Calibri"/>
      <w:kern w:val="0"/>
      <w:lang w:val="ro-RO"/>
      <w14:ligatures w14:val="none"/>
    </w:rPr>
  </w:style>
  <w:style w:type="character" w:customStyle="1" w:styleId="shdr">
    <w:name w:val="s_hdr"/>
    <w:basedOn w:val="DefaultParagraphFont"/>
    <w:rsid w:val="00CA1374"/>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Footnote21,Plonk"/>
    <w:basedOn w:val="Normal"/>
    <w:link w:val="FootnoteTextChar"/>
    <w:uiPriority w:val="99"/>
    <w:unhideWhenUsed/>
    <w:qFormat/>
    <w:rsid w:val="00EB19D6"/>
    <w:pPr>
      <w:spacing w:before="0" w:after="0"/>
    </w:pPr>
    <w:rPr>
      <w:sz w:val="20"/>
      <w:szCs w:val="20"/>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uiPriority w:val="99"/>
    <w:rsid w:val="00EB19D6"/>
    <w:rPr>
      <w:rFonts w:ascii="Calibri" w:eastAsia="Calibri" w:hAnsi="Calibri" w:cs="Calibri"/>
      <w:kern w:val="0"/>
      <w:sz w:val="20"/>
      <w:szCs w:val="20"/>
      <w:lang w:val="ro-RO"/>
      <w14:ligatures w14:val="none"/>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number"/>
    <w:basedOn w:val="DefaultParagraphFont"/>
    <w:link w:val="BVIfnrChar1Char"/>
    <w:uiPriority w:val="99"/>
    <w:unhideWhenUsed/>
    <w:qFormat/>
    <w:rsid w:val="00EB19D6"/>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400C56"/>
    <w:pPr>
      <w:spacing w:before="0" w:after="160" w:line="240" w:lineRule="exact"/>
      <w:ind w:left="0"/>
    </w:pPr>
    <w:rPr>
      <w:rFonts w:asciiTheme="minorHAnsi" w:eastAsiaTheme="minorHAnsi" w:hAnsiTheme="minorHAnsi" w:cstheme="minorBidi"/>
      <w:kern w:val="2"/>
      <w:vertAlign w:val="superscript"/>
      <w:lang w:val="en-US"/>
      <w14:ligatures w14:val="standardContextual"/>
    </w:rPr>
  </w:style>
  <w:style w:type="paragraph" w:styleId="TOCHeading">
    <w:name w:val="TOC Heading"/>
    <w:basedOn w:val="Heading1"/>
    <w:next w:val="Normal"/>
    <w:uiPriority w:val="39"/>
    <w:unhideWhenUsed/>
    <w:qFormat/>
    <w:rsid w:val="00FF4273"/>
    <w:pPr>
      <w:numPr>
        <w:numId w:val="0"/>
      </w:numPr>
      <w:spacing w:after="0" w:line="259" w:lineRule="auto"/>
      <w:jc w:val="left"/>
      <w:outlineLvl w:val="9"/>
    </w:pPr>
    <w:rPr>
      <w:color w:val="2F5496" w:themeColor="accent1" w:themeShade="BF"/>
      <w:lang w:val="en-US"/>
    </w:rPr>
  </w:style>
  <w:style w:type="paragraph" w:styleId="TOC1">
    <w:name w:val="toc 1"/>
    <w:basedOn w:val="Normal"/>
    <w:next w:val="Normal"/>
    <w:autoRedefine/>
    <w:uiPriority w:val="39"/>
    <w:unhideWhenUsed/>
    <w:rsid w:val="00FF4273"/>
    <w:pPr>
      <w:spacing w:after="100"/>
      <w:ind w:left="0"/>
    </w:pPr>
  </w:style>
  <w:style w:type="character" w:styleId="Hyperlink">
    <w:name w:val="Hyperlink"/>
    <w:basedOn w:val="DefaultParagraphFont"/>
    <w:uiPriority w:val="99"/>
    <w:unhideWhenUsed/>
    <w:rsid w:val="00FF42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7A159-A6D3-477C-9140-812871059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2610</Words>
  <Characters>14883</Characters>
  <Application>Microsoft Office Word</Application>
  <DocSecurity>0</DocSecurity>
  <Lines>124</Lines>
  <Paragraphs>34</Paragraphs>
  <ScaleCrop>false</ScaleCrop>
  <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min6 inv6</dc:creator>
  <cp:keywords/>
  <dc:description/>
  <cp:lastModifiedBy>min6 inv6</cp:lastModifiedBy>
  <cp:revision>12</cp:revision>
  <dcterms:created xsi:type="dcterms:W3CDTF">2023-08-06T14:04:00Z</dcterms:created>
  <dcterms:modified xsi:type="dcterms:W3CDTF">2023-08-07T18:06:00Z</dcterms:modified>
</cp:coreProperties>
</file>