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591" w:type="dxa"/>
        <w:tblLook w:val="04A0" w:firstRow="1" w:lastRow="0" w:firstColumn="1" w:lastColumn="0" w:noHBand="0" w:noVBand="1"/>
      </w:tblPr>
      <w:tblGrid>
        <w:gridCol w:w="3340"/>
        <w:gridCol w:w="1083"/>
        <w:gridCol w:w="4937"/>
        <w:gridCol w:w="4963"/>
        <w:gridCol w:w="720"/>
        <w:gridCol w:w="6548"/>
      </w:tblGrid>
      <w:tr w:rsidR="00DA61D5" w:rsidRPr="00DA61D5" w14:paraId="109021F0" w14:textId="77777777" w:rsidTr="008138C6">
        <w:trPr>
          <w:trHeight w:val="510"/>
        </w:trPr>
        <w:tc>
          <w:tcPr>
            <w:tcW w:w="2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497D" w:fill="305496"/>
            <w:noWrap/>
            <w:vAlign w:val="center"/>
            <w:hideMark/>
          </w:tcPr>
          <w:p w14:paraId="0D1598B5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Listă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auto-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privind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respectarea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principiului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„a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nu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prejudicia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mod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semnificativ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” (DNSH)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mediu</w:t>
            </w:r>
            <w:proofErr w:type="spellEnd"/>
          </w:p>
        </w:tc>
      </w:tr>
      <w:tr w:rsidR="00DA61D5" w:rsidRPr="00DA61D5" w14:paraId="1EB77931" w14:textId="77777777" w:rsidTr="008138C6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0472A0EC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Program: </w:t>
            </w:r>
          </w:p>
        </w:tc>
        <w:tc>
          <w:tcPr>
            <w:tcW w:w="1825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3C94421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Tranziție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Justă</w:t>
            </w:r>
            <w:proofErr w:type="spellEnd"/>
          </w:p>
        </w:tc>
      </w:tr>
      <w:tr w:rsidR="00DA61D5" w:rsidRPr="00DA61D5" w14:paraId="5A3A7FE2" w14:textId="77777777" w:rsidTr="008138C6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7FB11FAB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Prioritatea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4918DF47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Atenuarea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socio-economic 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tranziției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neutralitatea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climatică</w:t>
            </w:r>
            <w:proofErr w:type="spellEnd"/>
          </w:p>
        </w:tc>
      </w:tr>
      <w:tr w:rsidR="00DA61D5" w:rsidRPr="00DA61D5" w14:paraId="4A5B2CBC" w14:textId="77777777" w:rsidTr="008138C6">
        <w:trPr>
          <w:trHeight w:val="818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1148D9D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specific: </w:t>
            </w:r>
          </w:p>
        </w:tc>
        <w:tc>
          <w:tcPr>
            <w:tcW w:w="18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70AD47" w:fill="C6E0B4"/>
            <w:vAlign w:val="center"/>
            <w:hideMark/>
          </w:tcPr>
          <w:p w14:paraId="32D9032A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permite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regiunilor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cetățenilor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față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efectelor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ocupării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forței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tranziției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țintele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energetice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climatice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Uniunii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2030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punct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vedere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climatic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Uniunii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până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2050,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temeiul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Paris. (FTJ)</w:t>
            </w:r>
          </w:p>
        </w:tc>
      </w:tr>
      <w:tr w:rsidR="00DA61D5" w:rsidRPr="00DA61D5" w14:paraId="2167B686" w14:textId="77777777" w:rsidTr="008138C6">
        <w:trPr>
          <w:trHeight w:val="458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26D0174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Apel: </w:t>
            </w:r>
          </w:p>
        </w:tc>
        <w:tc>
          <w:tcPr>
            <w:tcW w:w="18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70AD47" w:fill="C6E0B4"/>
            <w:vAlign w:val="center"/>
            <w:hideMark/>
          </w:tcPr>
          <w:p w14:paraId="181965EB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Sprijin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IMM-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61D5" w:rsidRPr="00DA61D5" w14:paraId="24EF5706" w14:textId="77777777" w:rsidTr="008138C6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0AD47" w:fill="C6E0B4"/>
            <w:noWrap/>
            <w:vAlign w:val="center"/>
            <w:hideMark/>
          </w:tcPr>
          <w:p w14:paraId="22D1F777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Obiectiv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apel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finanțare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70AD47" w:fill="C6E0B4"/>
            <w:vAlign w:val="center"/>
            <w:hideMark/>
          </w:tcPr>
          <w:p w14:paraId="6C0F605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Investiții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dezvoltarea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IMM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sprijină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creșterea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durabilă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locuri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muncă</w:t>
            </w:r>
            <w:proofErr w:type="spellEnd"/>
          </w:p>
        </w:tc>
      </w:tr>
      <w:tr w:rsidR="00DA61D5" w:rsidRPr="00DA61D5" w14:paraId="1450F808" w14:textId="77777777" w:rsidTr="008138C6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noWrap/>
            <w:vAlign w:val="center"/>
            <w:hideMark/>
          </w:tcPr>
          <w:p w14:paraId="0CEA5939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vAlign w:val="center"/>
            <w:hideMark/>
          </w:tcPr>
          <w:p w14:paraId="156DA398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vAlign w:val="center"/>
            <w:hideMark/>
          </w:tcPr>
          <w:p w14:paraId="2A29C76D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vAlign w:val="center"/>
            <w:hideMark/>
          </w:tcPr>
          <w:p w14:paraId="1FD465D5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vAlign w:val="center"/>
            <w:hideMark/>
          </w:tcPr>
          <w:p w14:paraId="32536FED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70AD47" w:fill="FFFFFF"/>
            <w:vAlign w:val="center"/>
            <w:hideMark/>
          </w:tcPr>
          <w:p w14:paraId="45F99EE1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38C6" w:rsidRPr="00DA61D5" w14:paraId="0E501235" w14:textId="77777777" w:rsidTr="008138C6">
        <w:trPr>
          <w:trHeight w:val="10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9AA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1F497D" w:fill="8EA9DB"/>
            <w:vAlign w:val="center"/>
            <w:hideMark/>
          </w:tcPr>
          <w:p w14:paraId="4141AF6C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1 -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obiectivelor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necesară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fond</w:t>
            </w:r>
          </w:p>
        </w:tc>
        <w:tc>
          <w:tcPr>
            <w:tcW w:w="1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1F497D" w:fill="8EA9DB"/>
            <w:noWrap/>
            <w:vAlign w:val="center"/>
            <w:hideMark/>
          </w:tcPr>
          <w:p w14:paraId="0FF392B6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2-a -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fond conform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principiului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DNSH</w:t>
            </w:r>
          </w:p>
        </w:tc>
      </w:tr>
      <w:tr w:rsidR="00DA61D5" w:rsidRPr="00DA61D5" w14:paraId="088D18E2" w14:textId="77777777" w:rsidTr="008138C6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97D" w:fill="305496"/>
            <w:hideMark/>
          </w:tcPr>
          <w:p w14:paraId="30D736AC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dintre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obiectivele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mai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jos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necesită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 fond conform DNSH?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497D" w:fill="305496"/>
            <w:noWrap/>
            <w:vAlign w:val="center"/>
            <w:hideMark/>
          </w:tcPr>
          <w:p w14:paraId="4B593FE6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Da*)/Nu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497D" w:fill="305496"/>
            <w:vAlign w:val="center"/>
            <w:hideMark/>
          </w:tcPr>
          <w:p w14:paraId="39F5251C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Justificare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cazul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selectării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răspunsului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NU**)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497D" w:fill="305496"/>
            <w:noWrap/>
            <w:vAlign w:val="center"/>
            <w:hideMark/>
          </w:tcPr>
          <w:p w14:paraId="0C9D72C0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Întrebări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497D" w:fill="305496"/>
            <w:noWrap/>
            <w:vAlign w:val="center"/>
            <w:hideMark/>
          </w:tcPr>
          <w:p w14:paraId="0F47DF7C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Nu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497D" w:fill="305496"/>
            <w:vAlign w:val="center"/>
            <w:hideMark/>
          </w:tcPr>
          <w:p w14:paraId="53554035" w14:textId="77777777" w:rsidR="00DA61D5" w:rsidRPr="00DA61D5" w:rsidRDefault="00DA61D5" w:rsidP="0081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Justificare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de fond</w:t>
            </w:r>
          </w:p>
        </w:tc>
      </w:tr>
      <w:tr w:rsidR="00DA61D5" w:rsidRPr="00DA61D5" w14:paraId="6B32C839" w14:textId="77777777" w:rsidTr="008138C6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5199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Atenuarea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schimbărilor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climatice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169A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D860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D130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GES?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F103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BA0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1D5" w:rsidRPr="00DA61D5" w14:paraId="5DC08022" w14:textId="77777777" w:rsidTr="008138C6">
        <w:trPr>
          <w:trHeight w:val="15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38295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Adaptarea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schimbările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climatice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395F6F3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2F78AF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center"/>
            <w:hideMark/>
          </w:tcPr>
          <w:p w14:paraId="57359216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duce la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actual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viitor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preconizat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D323EE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A3960E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1D5" w:rsidRPr="00DA61D5" w14:paraId="785C54E7" w14:textId="77777777" w:rsidTr="008138C6">
        <w:trPr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8B8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Utilizarea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durabilă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protejarea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resurselor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marine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27C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316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A318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9F9A6C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potențialul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ecologic bun</w:t>
            </w:r>
            <w:r w:rsid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corpurilor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suprafață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subterane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  <w:p w14:paraId="4FF3FEBF" w14:textId="77777777" w:rsidR="00DA61D5" w:rsidRPr="00DA61D5" w:rsidRDefault="00DA61D5" w:rsidP="008138C6">
            <w:pPr>
              <w:spacing w:after="0"/>
              <w:jc w:val="both"/>
              <w:rPr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ecologică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marine?</w:t>
            </w:r>
            <w:r w:rsidRPr="00DA6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B33C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FA70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1D5" w:rsidRPr="00DA61D5" w14:paraId="0FAE829E" w14:textId="77777777" w:rsidTr="008138C6">
        <w:trPr>
          <w:trHeight w:val="3617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32274B" w14:textId="1CF91168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Economia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circulară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incl</w:t>
            </w:r>
            <w:r w:rsidR="00901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prevenirea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deșeuri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reciclarea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acestora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641A2802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A7DC4AB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center"/>
            <w:hideMark/>
          </w:tcPr>
          <w:p w14:paraId="25EEBC33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B6AF77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duce la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incinerării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deșeurilor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excepția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incinerării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deșeurilor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periculoase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nereciclabile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  <w:p w14:paraId="45765840" w14:textId="77777777" w:rsidR="008138C6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duce la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ineficiențe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oricăror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resurse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ciclului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viață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care nu sunt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reduse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minimum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adecvate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</w:p>
          <w:p w14:paraId="682457EE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(iii)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cauza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prejudicii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termen lung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circulară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54E26A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2D51F9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A61D5" w:rsidRPr="00DA61D5" w14:paraId="690C9BDD" w14:textId="77777777" w:rsidTr="008138C6">
        <w:trPr>
          <w:trHeight w:val="90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B3FA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Prevenirea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poluării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aerului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apei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solului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49BA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181F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35E7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duce la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creștere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emisiilor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poluanți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B430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640B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1D5" w:rsidRPr="00DA61D5" w14:paraId="4A2C0308" w14:textId="77777777" w:rsidTr="008138C6">
        <w:trPr>
          <w:trHeight w:val="19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C44B06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Protecția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refacerea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biodiversității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ecosistemelor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center"/>
            <w:hideMark/>
          </w:tcPr>
          <w:p w14:paraId="3C7EE193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AA08750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73E9C5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preconizează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fi: (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semnificativ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reziliența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ecosistemelor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DBFF03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stadiul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AD2E4C4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9F0268" w14:textId="77777777" w:rsidR="00DA61D5" w:rsidRPr="00DA61D5" w:rsidRDefault="00DA61D5" w:rsidP="00813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61D5" w:rsidRPr="00DA61D5" w14:paraId="08EFFF8D" w14:textId="77777777" w:rsidTr="008138C6">
        <w:trPr>
          <w:trHeight w:val="503"/>
        </w:trPr>
        <w:tc>
          <w:tcPr>
            <w:tcW w:w="215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2D0A" w14:textId="77777777" w:rsidR="008138C6" w:rsidRDefault="008138C6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359805" w14:textId="0C5B4967" w:rsid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răspunsul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„da”,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solicitanții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sunt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invitați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treacă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2-a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fond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neprejudicierea</w:t>
            </w:r>
            <w:proofErr w:type="spellEnd"/>
            <w:r w:rsidR="009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obiectivel</w:t>
            </w:r>
            <w:r w:rsidR="009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15EB47" w14:textId="77777777" w:rsidR="008138C6" w:rsidRPr="00DA61D5" w:rsidRDefault="008138C6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61D5" w:rsidRPr="00DA61D5" w14:paraId="253F0139" w14:textId="77777777" w:rsidTr="008138C6">
        <w:trPr>
          <w:trHeight w:val="3405"/>
        </w:trPr>
        <w:tc>
          <w:tcPr>
            <w:tcW w:w="2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8841" w14:textId="77777777" w:rsidR="00DA61D5" w:rsidRPr="008138C6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răspunsul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„nu”, </w:t>
            </w:r>
            <w:proofErr w:type="spellStart"/>
            <w:proofErr w:type="gram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solicitanții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prezintă</w:t>
            </w:r>
            <w:proofErr w:type="spellEnd"/>
            <w:proofErr w:type="gram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scurt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motivele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necesită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fond 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măsurii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conform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principiului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DNSH, pe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unuia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dintre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cazuri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317231E" w14:textId="77777777" w:rsidR="00DA61D5" w:rsidRPr="008138C6" w:rsidRDefault="00DA61D5" w:rsidP="008138C6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au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niciun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impact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previzibil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 un impact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previzibil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nesemnificativ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efectele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activităților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parcursul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întregului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ciclu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viață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având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vedere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natura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sunt considerate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conforme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principiul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DNSH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relevant;</w:t>
            </w:r>
          </w:p>
          <w:p w14:paraId="59AB1954" w14:textId="77777777" w:rsidR="00DA61D5" w:rsidRPr="008138C6" w:rsidRDefault="00DA61D5" w:rsidP="008138C6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monitorizat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întrucât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sprijină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schimbările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climatice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un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coeficient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100 %,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fiind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astfel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considerat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conform cu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principiul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DNSH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relevant;</w:t>
            </w:r>
          </w:p>
          <w:p w14:paraId="13F786DB" w14:textId="77777777" w:rsidR="00DA61D5" w:rsidRPr="008138C6" w:rsidRDefault="00DA61D5" w:rsidP="008138C6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proiectului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contribuie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substanțial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la un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</w:t>
            </w:r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</w:t>
            </w:r>
            <w:proofErr w:type="spellEnd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conformitate</w:t>
            </w:r>
            <w:proofErr w:type="spellEnd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art. 10-15 din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(UE) 2020/852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instituirea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unui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faciliteze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investițiile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durabile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modificare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Regulementului</w:t>
            </w:r>
            <w:proofErr w:type="spellEnd"/>
            <w:r w:rsidRPr="0081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(UE) 2019/2088</w:t>
            </w:r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fiind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astfel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considerate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conforme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principiul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DNSH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DA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relevant.</w:t>
            </w:r>
          </w:p>
          <w:p w14:paraId="19FD4326" w14:textId="77777777" w:rsidR="00DA61D5" w:rsidRPr="008138C6" w:rsidRDefault="00DA61D5" w:rsidP="008138C6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05B623" w14:textId="77777777" w:rsidR="00DA61D5" w:rsidRPr="008138C6" w:rsidRDefault="00DA61D5" w:rsidP="008138C6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93270" w14:textId="77777777" w:rsidR="00DA61D5" w:rsidRPr="008138C6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09E5E" w14:textId="77777777" w:rsidR="00DA61D5" w:rsidRPr="008138C6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487862" w14:textId="77777777" w:rsidR="00DA61D5" w:rsidRPr="00DA61D5" w:rsidRDefault="00DA61D5" w:rsidP="0081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1EB554" w14:textId="77777777" w:rsidR="00AE0342" w:rsidRPr="00DA61D5" w:rsidRDefault="00AE0342" w:rsidP="00813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E0342" w:rsidRPr="00DA61D5" w:rsidSect="00524E20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5686" w14:textId="77777777" w:rsidR="003B1299" w:rsidRDefault="003B1299" w:rsidP="00524E20">
      <w:pPr>
        <w:spacing w:after="0" w:line="240" w:lineRule="auto"/>
      </w:pPr>
      <w:r>
        <w:separator/>
      </w:r>
    </w:p>
  </w:endnote>
  <w:endnote w:type="continuationSeparator" w:id="0">
    <w:p w14:paraId="662B6402" w14:textId="77777777" w:rsidR="003B1299" w:rsidRDefault="003B1299" w:rsidP="0052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A810" w14:textId="77777777" w:rsidR="003B1299" w:rsidRDefault="003B1299" w:rsidP="00524E20">
      <w:pPr>
        <w:spacing w:after="0" w:line="240" w:lineRule="auto"/>
      </w:pPr>
      <w:r>
        <w:separator/>
      </w:r>
    </w:p>
  </w:footnote>
  <w:footnote w:type="continuationSeparator" w:id="0">
    <w:p w14:paraId="6A13387E" w14:textId="77777777" w:rsidR="003B1299" w:rsidRDefault="003B1299" w:rsidP="0052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3002"/>
      <w:gridCol w:w="16978"/>
      <w:gridCol w:w="1451"/>
    </w:tblGrid>
    <w:tr w:rsidR="00561147" w:rsidRPr="00B529FD" w14:paraId="3E26D17D" w14:textId="77777777" w:rsidTr="00561147">
      <w:trPr>
        <w:trHeight w:val="763"/>
      </w:trPr>
      <w:tc>
        <w:tcPr>
          <w:tcW w:w="3002" w:type="dxa"/>
        </w:tcPr>
        <w:p w14:paraId="252E7178" w14:textId="77777777" w:rsidR="00561147" w:rsidRPr="00B529FD" w:rsidRDefault="00561147" w:rsidP="00561147">
          <w:pPr>
            <w:pStyle w:val="Header"/>
            <w:spacing w:line="276" w:lineRule="auto"/>
            <w:jc w:val="right"/>
            <w:rPr>
              <w:rFonts w:ascii="Times New Roman" w:hAnsi="Times New Roman"/>
              <w:lang w:val="en-US"/>
            </w:rPr>
          </w:pPr>
        </w:p>
      </w:tc>
      <w:tc>
        <w:tcPr>
          <w:tcW w:w="16978" w:type="dxa"/>
          <w:tcBorders>
            <w:right w:val="single" w:sz="2" w:space="0" w:color="5B9BD5" w:themeColor="accent1"/>
          </w:tcBorders>
        </w:tcPr>
        <w:p w14:paraId="01C3CB0F" w14:textId="77777777" w:rsidR="00561147" w:rsidRPr="00EC0CC4" w:rsidRDefault="00561147" w:rsidP="00561147">
          <w:pPr>
            <w:pStyle w:val="Header"/>
            <w:spacing w:line="276" w:lineRule="auto"/>
            <w:jc w:val="right"/>
            <w:rPr>
              <w:rFonts w:ascii="Times New Roman" w:hAnsi="Times New Roman"/>
              <w:b/>
              <w:lang w:val="en-US"/>
            </w:rPr>
          </w:pPr>
        </w:p>
      </w:tc>
      <w:tc>
        <w:tcPr>
          <w:tcW w:w="1451" w:type="dxa"/>
          <w:tcBorders>
            <w:left w:val="single" w:sz="2" w:space="0" w:color="5B9BD5" w:themeColor="accent1"/>
          </w:tcBorders>
        </w:tcPr>
        <w:p w14:paraId="4F51B658" w14:textId="77777777" w:rsidR="00561147" w:rsidRPr="00EC0CC4" w:rsidRDefault="00561147" w:rsidP="00561147">
          <w:pPr>
            <w:pStyle w:val="Header"/>
            <w:spacing w:line="276" w:lineRule="auto"/>
            <w:rPr>
              <w:rFonts w:ascii="Times New Roman" w:hAnsi="Times New Roman"/>
              <w:b/>
              <w:color w:val="5B9BD5" w:themeColor="accent1"/>
              <w:spacing w:val="-20"/>
              <w:lang w:val="en-US"/>
            </w:rPr>
          </w:pPr>
          <w:r w:rsidRPr="00EC0CC4">
            <w:rPr>
              <w:rFonts w:ascii="Times New Roman" w:hAnsi="Times New Roman"/>
              <w:b/>
              <w:color w:val="5B9BD5" w:themeColor="accent1"/>
              <w:spacing w:val="-20"/>
              <w:lang w:val="en-US"/>
            </w:rPr>
            <w:t>PROGRAMUL</w:t>
          </w:r>
        </w:p>
        <w:p w14:paraId="0CCD3B25" w14:textId="77777777" w:rsidR="00561147" w:rsidRPr="00EC0CC4" w:rsidRDefault="00561147" w:rsidP="00561147">
          <w:pPr>
            <w:pStyle w:val="Header"/>
            <w:spacing w:line="276" w:lineRule="auto"/>
            <w:rPr>
              <w:rFonts w:ascii="Times New Roman" w:hAnsi="Times New Roman"/>
              <w:b/>
              <w:color w:val="5B9BD5" w:themeColor="accent1"/>
              <w:spacing w:val="-20"/>
              <w:lang w:val="en-US"/>
            </w:rPr>
          </w:pPr>
          <w:r w:rsidRPr="00EC0CC4">
            <w:rPr>
              <w:rFonts w:ascii="Times New Roman" w:hAnsi="Times New Roman"/>
              <w:b/>
              <w:color w:val="5B9BD5" w:themeColor="accent1"/>
              <w:spacing w:val="-20"/>
              <w:lang w:val="en-US"/>
            </w:rPr>
            <w:t>TRANZIȚIE</w:t>
          </w:r>
        </w:p>
        <w:p w14:paraId="3862B782" w14:textId="77777777" w:rsidR="00561147" w:rsidRPr="00EC0CC4" w:rsidRDefault="00561147" w:rsidP="00561147">
          <w:pPr>
            <w:pStyle w:val="Header"/>
            <w:spacing w:line="276" w:lineRule="auto"/>
            <w:rPr>
              <w:rFonts w:ascii="Times New Roman" w:hAnsi="Times New Roman"/>
              <w:b/>
              <w:color w:val="5B9BD5" w:themeColor="accent1"/>
            </w:rPr>
          </w:pPr>
          <w:r w:rsidRPr="00EC0CC4">
            <w:rPr>
              <w:rFonts w:ascii="Times New Roman" w:hAnsi="Times New Roman"/>
              <w:b/>
              <w:color w:val="5B9BD5" w:themeColor="accent1"/>
              <w:spacing w:val="-20"/>
            </w:rPr>
            <w:t>JUSTĂ</w:t>
          </w:r>
        </w:p>
      </w:tc>
    </w:tr>
  </w:tbl>
  <w:p w14:paraId="723F8B63" w14:textId="77777777" w:rsidR="00420304" w:rsidRDefault="00420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5AC"/>
    <w:multiLevelType w:val="hybridMultilevel"/>
    <w:tmpl w:val="808AAFA4"/>
    <w:lvl w:ilvl="0" w:tplc="DCC62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D0C26"/>
    <w:multiLevelType w:val="hybridMultilevel"/>
    <w:tmpl w:val="95AC6444"/>
    <w:lvl w:ilvl="0" w:tplc="D2524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1360">
    <w:abstractNumId w:val="0"/>
  </w:num>
  <w:num w:numId="2" w16cid:durableId="116058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20"/>
    <w:rsid w:val="00132B12"/>
    <w:rsid w:val="001402C9"/>
    <w:rsid w:val="002132D3"/>
    <w:rsid w:val="003B1299"/>
    <w:rsid w:val="003D6596"/>
    <w:rsid w:val="00420304"/>
    <w:rsid w:val="00524E20"/>
    <w:rsid w:val="00561147"/>
    <w:rsid w:val="006E08AB"/>
    <w:rsid w:val="007E14DD"/>
    <w:rsid w:val="008138C6"/>
    <w:rsid w:val="0090152A"/>
    <w:rsid w:val="00981583"/>
    <w:rsid w:val="00994DFE"/>
    <w:rsid w:val="00A46787"/>
    <w:rsid w:val="00AE0342"/>
    <w:rsid w:val="00DA61D5"/>
    <w:rsid w:val="00E61A29"/>
    <w:rsid w:val="00EC0CC4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07F8"/>
  <w15:chartTrackingRefBased/>
  <w15:docId w15:val="{6F8DE8C0-37AB-46A6-9A2D-D49E1A5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E20"/>
  </w:style>
  <w:style w:type="paragraph" w:styleId="Footer">
    <w:name w:val="footer"/>
    <w:basedOn w:val="Normal"/>
    <w:link w:val="FooterChar"/>
    <w:uiPriority w:val="99"/>
    <w:unhideWhenUsed/>
    <w:rsid w:val="005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E20"/>
  </w:style>
  <w:style w:type="paragraph" w:styleId="ListParagraph">
    <w:name w:val="List Paragraph"/>
    <w:basedOn w:val="Normal"/>
    <w:uiPriority w:val="34"/>
    <w:qFormat/>
    <w:rsid w:val="00524E20"/>
    <w:pPr>
      <w:ind w:left="720"/>
      <w:contextualSpacing/>
    </w:pPr>
  </w:style>
  <w:style w:type="table" w:styleId="TableGrid">
    <w:name w:val="Table Grid"/>
    <w:basedOn w:val="TableNormal"/>
    <w:uiPriority w:val="39"/>
    <w:rsid w:val="004203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Daniela Doncuta</dc:creator>
  <cp:keywords/>
  <dc:description/>
  <cp:lastModifiedBy>min6 inv6</cp:lastModifiedBy>
  <cp:revision>2</cp:revision>
  <dcterms:created xsi:type="dcterms:W3CDTF">2023-08-06T19:12:00Z</dcterms:created>
  <dcterms:modified xsi:type="dcterms:W3CDTF">2023-08-06T19:12:00Z</dcterms:modified>
</cp:coreProperties>
</file>