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E20C" w14:textId="06A7C066" w:rsidR="00D03FE9" w:rsidRPr="0031391F" w:rsidRDefault="00545B50" w:rsidP="00C54C92">
      <w:pPr>
        <w:pStyle w:val="Heading1"/>
        <w:numPr>
          <w:ilvl w:val="0"/>
          <w:numId w:val="0"/>
        </w:numPr>
        <w:ind w:left="720"/>
        <w:jc w:val="center"/>
      </w:pPr>
      <w:r w:rsidRPr="0031391F">
        <w:t>Grila de verificare în etapa de contractare</w:t>
      </w:r>
    </w:p>
    <w:p w14:paraId="6C8CCDFC" w14:textId="70C740F1" w:rsidR="00545B50" w:rsidRPr="0031391F" w:rsidRDefault="00545B50" w:rsidP="00545B50"/>
    <w:tbl>
      <w:tblPr>
        <w:tblStyle w:val="TableGrid"/>
        <w:tblW w:w="14017" w:type="dxa"/>
        <w:tblInd w:w="720" w:type="dxa"/>
        <w:tblLook w:val="04A0" w:firstRow="1" w:lastRow="0" w:firstColumn="1" w:lastColumn="0" w:noHBand="0" w:noVBand="1"/>
      </w:tblPr>
      <w:tblGrid>
        <w:gridCol w:w="693"/>
        <w:gridCol w:w="6869"/>
        <w:gridCol w:w="1179"/>
        <w:gridCol w:w="5276"/>
      </w:tblGrid>
      <w:tr w:rsidR="003C4AF1" w:rsidRPr="0031391F" w14:paraId="0A431AFA" w14:textId="330BEECC" w:rsidTr="0090527E">
        <w:tc>
          <w:tcPr>
            <w:tcW w:w="693" w:type="dxa"/>
          </w:tcPr>
          <w:p w14:paraId="0755F4FA" w14:textId="45D05D9B" w:rsidR="003C4AF1" w:rsidRPr="0031391F" w:rsidRDefault="003C4AF1" w:rsidP="00200036">
            <w:pPr>
              <w:ind w:left="0"/>
              <w:jc w:val="center"/>
              <w:rPr>
                <w:b/>
              </w:rPr>
            </w:pPr>
            <w:r w:rsidRPr="0031391F">
              <w:rPr>
                <w:b/>
              </w:rPr>
              <w:t>Nr. crt.</w:t>
            </w:r>
          </w:p>
        </w:tc>
        <w:tc>
          <w:tcPr>
            <w:tcW w:w="6869" w:type="dxa"/>
            <w:vAlign w:val="center"/>
          </w:tcPr>
          <w:p w14:paraId="07A3CB4D" w14:textId="0C09C983" w:rsidR="003C4AF1" w:rsidRPr="0031391F" w:rsidRDefault="003C4AF1" w:rsidP="000E5225">
            <w:pPr>
              <w:ind w:left="0"/>
              <w:jc w:val="center"/>
              <w:rPr>
                <w:b/>
              </w:rPr>
            </w:pPr>
            <w:r w:rsidRPr="0031391F">
              <w:rPr>
                <w:b/>
              </w:rPr>
              <w:t>Criteriu verificare</w:t>
            </w:r>
          </w:p>
        </w:tc>
        <w:tc>
          <w:tcPr>
            <w:tcW w:w="1179" w:type="dxa"/>
            <w:vAlign w:val="center"/>
          </w:tcPr>
          <w:p w14:paraId="31BB1075" w14:textId="2D2ECF56" w:rsidR="003C4AF1" w:rsidRPr="0031391F" w:rsidRDefault="003C4AF1" w:rsidP="000E5225">
            <w:pPr>
              <w:ind w:left="0"/>
              <w:jc w:val="center"/>
              <w:rPr>
                <w:b/>
              </w:rPr>
            </w:pPr>
            <w:r w:rsidRPr="0031391F">
              <w:rPr>
                <w:b/>
              </w:rPr>
              <w:t>Da/Nu</w:t>
            </w:r>
            <w:r w:rsidR="00B3448C" w:rsidRPr="0031391F">
              <w:rPr>
                <w:b/>
              </w:rPr>
              <w:t>/Nu este cazul</w:t>
            </w:r>
          </w:p>
        </w:tc>
        <w:tc>
          <w:tcPr>
            <w:tcW w:w="5276" w:type="dxa"/>
          </w:tcPr>
          <w:p w14:paraId="6BD4D0DD" w14:textId="2312EE99" w:rsidR="003C4AF1" w:rsidRPr="0031391F" w:rsidRDefault="00B3448C" w:rsidP="000E5225">
            <w:pPr>
              <w:ind w:left="0"/>
              <w:jc w:val="center"/>
              <w:rPr>
                <w:b/>
              </w:rPr>
            </w:pPr>
            <w:r w:rsidRPr="0031391F">
              <w:rPr>
                <w:b/>
              </w:rPr>
              <w:t>Observații</w:t>
            </w:r>
          </w:p>
        </w:tc>
      </w:tr>
      <w:tr w:rsidR="00AB1044" w:rsidRPr="0031391F" w14:paraId="100A9A2F" w14:textId="5E5D966F" w:rsidTr="0090527E">
        <w:tc>
          <w:tcPr>
            <w:tcW w:w="693" w:type="dxa"/>
          </w:tcPr>
          <w:p w14:paraId="4B6EA7FC" w14:textId="06160E5F" w:rsidR="00AB1044" w:rsidRPr="0031391F" w:rsidRDefault="00AB1044" w:rsidP="00200036">
            <w:pPr>
              <w:ind w:left="0"/>
              <w:jc w:val="center"/>
              <w:rPr>
                <w:b/>
              </w:rPr>
            </w:pPr>
            <w:r w:rsidRPr="0031391F">
              <w:rPr>
                <w:b/>
              </w:rPr>
              <w:t>A</w:t>
            </w:r>
          </w:p>
        </w:tc>
        <w:tc>
          <w:tcPr>
            <w:tcW w:w="13324" w:type="dxa"/>
            <w:gridSpan w:val="3"/>
          </w:tcPr>
          <w:p w14:paraId="47610CBF" w14:textId="61094534" w:rsidR="00AB1044" w:rsidRPr="0031391F" w:rsidRDefault="00AB1044" w:rsidP="00545B50">
            <w:pPr>
              <w:ind w:left="0"/>
              <w:rPr>
                <w:b/>
              </w:rPr>
            </w:pPr>
            <w:r w:rsidRPr="0031391F">
              <w:rPr>
                <w:b/>
              </w:rPr>
              <w:t>Existența și conformitatea documentelor obligatorii solicitate pentru etapa de contractare</w:t>
            </w:r>
          </w:p>
        </w:tc>
      </w:tr>
      <w:tr w:rsidR="003C4AF1" w:rsidRPr="0031391F" w14:paraId="53D529B9" w14:textId="7132CEDB" w:rsidTr="0090527E">
        <w:tc>
          <w:tcPr>
            <w:tcW w:w="693" w:type="dxa"/>
          </w:tcPr>
          <w:p w14:paraId="64EC917B" w14:textId="1C760B1E" w:rsidR="003C4AF1" w:rsidRPr="0031391F" w:rsidRDefault="003C4AF1" w:rsidP="00200036">
            <w:pPr>
              <w:ind w:left="0"/>
              <w:jc w:val="center"/>
            </w:pPr>
            <w:r w:rsidRPr="0031391F">
              <w:t>1</w:t>
            </w:r>
          </w:p>
        </w:tc>
        <w:tc>
          <w:tcPr>
            <w:tcW w:w="6869" w:type="dxa"/>
          </w:tcPr>
          <w:p w14:paraId="6296107F" w14:textId="1ADE42C1" w:rsidR="003C4AF1" w:rsidRPr="0031391F" w:rsidRDefault="00D92E72" w:rsidP="00545B50">
            <w:pPr>
              <w:ind w:left="0"/>
            </w:pPr>
            <w:r w:rsidRPr="0031391F">
              <w:t xml:space="preserve">În cazul în care </w:t>
            </w:r>
            <w:r w:rsidR="001526CE" w:rsidRPr="0031391F">
              <w:t>cererile de finanțare implică realizarea de lucrări cu autorizație de construire, se va depune acest document, în termen de valabilitate și emis pentru obiectivele de investiție corespunzătoare ale proiectului</w:t>
            </w:r>
          </w:p>
        </w:tc>
        <w:tc>
          <w:tcPr>
            <w:tcW w:w="1179" w:type="dxa"/>
          </w:tcPr>
          <w:p w14:paraId="3203B8CC" w14:textId="77777777" w:rsidR="003C4AF1" w:rsidRPr="0031391F" w:rsidRDefault="003C4AF1" w:rsidP="00545B50">
            <w:pPr>
              <w:ind w:left="0"/>
            </w:pPr>
          </w:p>
        </w:tc>
        <w:tc>
          <w:tcPr>
            <w:tcW w:w="5276" w:type="dxa"/>
          </w:tcPr>
          <w:p w14:paraId="65E57365" w14:textId="77777777" w:rsidR="00D92E72" w:rsidRPr="0031391F" w:rsidRDefault="00D92E72" w:rsidP="00D92E72">
            <w:pPr>
              <w:ind w:left="0"/>
            </w:pPr>
            <w:r w:rsidRPr="0031391F">
              <w:t xml:space="preserve">Dacă împreună cu cererea de finanțare se depune autorizația de construire valabilă la data depunerii cererii de finanțare, emisă pentru solicitant pentru obiectivul de investiții vizat de cererea de finanțare, nu este necesară şi nu se solicită depunerea altor avize, acorduri, certificate, autorizații sau a altor documente, inclusiv cele privind regimul de proprietate/dreptul real principal asupra imobilelor, infrastructurilor sau obiectivelor, care au stat la baza emiterii acesteia. </w:t>
            </w:r>
          </w:p>
          <w:p w14:paraId="2E88E71F" w14:textId="77777777" w:rsidR="00D92E72" w:rsidRPr="0031391F" w:rsidRDefault="00D92E72" w:rsidP="00D92E72">
            <w:pPr>
              <w:ind w:left="0"/>
            </w:pPr>
            <w:r w:rsidRPr="0031391F">
              <w:t xml:space="preserve">În situația în care cererea de finanțare este selectată pentru contractare, solicitantul are obligația să asigure valabilitatea autorizației de construire şi corespondența cu obiectivul finanțat şi la semnarea contractului de finanţare, după caz. </w:t>
            </w:r>
          </w:p>
          <w:p w14:paraId="45368EBC" w14:textId="55176CA6" w:rsidR="003C4AF1" w:rsidRPr="0031391F" w:rsidRDefault="00D92E72" w:rsidP="00D92E72">
            <w:pPr>
              <w:ind w:left="0"/>
            </w:pPr>
            <w:r w:rsidRPr="0031391F">
              <w:t>În cazul în care, din cuprinsul autorizației de construire nu rezultă aceste elemente în clar și/sau imobilele pentru care sunt autorizate lucrările de construire, AMPTJ/OIPTJ își rezervă dreptul de a solicita documentele care demonstrează drepturile reale principale solicitate în conformitate cu prevederile prezentului ghid.</w:t>
            </w:r>
          </w:p>
        </w:tc>
      </w:tr>
      <w:tr w:rsidR="003C4AF1" w:rsidRPr="0031391F" w14:paraId="64A99866" w14:textId="590EA0C8" w:rsidTr="0090527E">
        <w:tc>
          <w:tcPr>
            <w:tcW w:w="693" w:type="dxa"/>
          </w:tcPr>
          <w:p w14:paraId="01C9A6AA" w14:textId="406E2299" w:rsidR="003C4AF1" w:rsidRPr="0031391F" w:rsidRDefault="003C4AF1" w:rsidP="00200036">
            <w:pPr>
              <w:ind w:left="0"/>
              <w:jc w:val="center"/>
            </w:pPr>
            <w:r w:rsidRPr="0031391F">
              <w:lastRenderedPageBreak/>
              <w:t>2</w:t>
            </w:r>
          </w:p>
        </w:tc>
        <w:tc>
          <w:tcPr>
            <w:tcW w:w="6869" w:type="dxa"/>
          </w:tcPr>
          <w:p w14:paraId="300B73F8" w14:textId="097900B6" w:rsidR="003C4AF1" w:rsidRPr="0031391F" w:rsidRDefault="001526CE" w:rsidP="001526CE">
            <w:pPr>
              <w:ind w:left="0"/>
            </w:pPr>
            <w:r w:rsidRPr="0031391F">
              <w:t>Pentru apelurile de proiecte noi, acolo unde cererile de finanțare nu implică realizarea de lucrări cu autorizație de construire, solicitantul va depune în etapa de contractare documentele care atestă drepturile solicitate prin Ghidul solicitantului pentru obiectivele de investiții corespunzătoare</w:t>
            </w:r>
          </w:p>
        </w:tc>
        <w:tc>
          <w:tcPr>
            <w:tcW w:w="1179" w:type="dxa"/>
          </w:tcPr>
          <w:p w14:paraId="426CAB04" w14:textId="77777777" w:rsidR="003C4AF1" w:rsidRPr="0031391F" w:rsidRDefault="003C4AF1" w:rsidP="00545B50">
            <w:pPr>
              <w:ind w:left="0"/>
            </w:pPr>
          </w:p>
        </w:tc>
        <w:tc>
          <w:tcPr>
            <w:tcW w:w="5276" w:type="dxa"/>
          </w:tcPr>
          <w:p w14:paraId="43F4DFF7" w14:textId="77777777" w:rsidR="001526CE" w:rsidRPr="0031391F" w:rsidRDefault="001526CE" w:rsidP="001526CE">
            <w:pPr>
              <w:ind w:left="0"/>
              <w:rPr>
                <w:b/>
                <w:bCs/>
                <w:iCs/>
              </w:rPr>
            </w:pPr>
            <w:r w:rsidRPr="0031391F">
              <w:rPr>
                <w:iCs/>
              </w:rPr>
              <w:t>Documentele respective sunt cele care conform prevederilor legale în vigoare fac dovada transferului dreptului invocat în patrimoniul solicitantului.</w:t>
            </w:r>
          </w:p>
          <w:p w14:paraId="68A92A90" w14:textId="77777777" w:rsidR="001526CE" w:rsidRPr="0031391F" w:rsidRDefault="001526CE" w:rsidP="001526CE">
            <w:pPr>
              <w:ind w:left="0"/>
              <w:rPr>
                <w:b/>
                <w:bCs/>
                <w:iCs/>
              </w:rPr>
            </w:pPr>
            <w:bookmarkStart w:id="0" w:name="_Hlk135048280"/>
            <w:r w:rsidRPr="0031391F">
              <w:rPr>
                <w:iCs/>
              </w:rPr>
              <w:t>Astfel se va depune, după caz:</w:t>
            </w:r>
          </w:p>
          <w:p w14:paraId="3CD2B89E" w14:textId="77777777" w:rsidR="001526CE" w:rsidRPr="0031391F" w:rsidRDefault="001526CE" w:rsidP="001526CE">
            <w:pPr>
              <w:numPr>
                <w:ilvl w:val="0"/>
                <w:numId w:val="40"/>
              </w:numPr>
              <w:rPr>
                <w:b/>
                <w:bCs/>
                <w:iCs/>
              </w:rPr>
            </w:pPr>
            <w:r w:rsidRPr="0031391F">
              <w:rPr>
                <w:iCs/>
              </w:rPr>
              <w:t xml:space="preserve">oricare dintre actele admise de lege ce atestă dreptul de proprietate și celelalte drepturile reale principale (dreptul de superficie; dreptul de uzufruct; dreptul de uz; dreptul de administrare; dreptul de concesiune; dreptul de folosinţă) - copie act de proprietate /donație/ contract de superficie/ contract de uzufruct/ contract de concesiune/contract de folosință/  pe durata proiectului şi durata de sustenabilitate a proiectului, etc. </w:t>
            </w:r>
          </w:p>
          <w:p w14:paraId="7B016B39" w14:textId="77777777" w:rsidR="001526CE" w:rsidRPr="0031391F" w:rsidRDefault="001526CE" w:rsidP="001526CE">
            <w:pPr>
              <w:numPr>
                <w:ilvl w:val="0"/>
                <w:numId w:val="40"/>
              </w:numPr>
              <w:rPr>
                <w:b/>
                <w:bCs/>
                <w:iCs/>
              </w:rPr>
            </w:pPr>
            <w:r w:rsidRPr="0031391F">
              <w:rPr>
                <w:iCs/>
              </w:rPr>
              <w:t>Extrase de carte funciară pentru informare emise cu maxim 30 de zile înainte de transmiterea acestora prin MYSMIS</w:t>
            </w:r>
          </w:p>
          <w:bookmarkEnd w:id="0"/>
          <w:p w14:paraId="18BD8B6D" w14:textId="77777777" w:rsidR="001526CE" w:rsidRPr="0031391F" w:rsidRDefault="001526CE" w:rsidP="001526CE">
            <w:pPr>
              <w:ind w:left="0"/>
              <w:rPr>
                <w:b/>
                <w:bCs/>
                <w:iCs/>
              </w:rPr>
            </w:pPr>
            <w:r w:rsidRPr="0031391F">
              <w:rPr>
                <w:iCs/>
              </w:rPr>
              <w:t>În cazul în care în cadrul unui proiect există atât obiective de investiție pentru care este depusă autorizația de construire cât și obiective de investiție pentru care acest document nu este încă emis, se vor avea în vedere atât documentele menționate ambele puncte de mai sus, după caz.</w:t>
            </w:r>
          </w:p>
          <w:p w14:paraId="213AF45F" w14:textId="5A4C1234" w:rsidR="003C4AF1" w:rsidRPr="0031391F" w:rsidRDefault="001526CE" w:rsidP="00545B50">
            <w:pPr>
              <w:ind w:left="0"/>
              <w:rPr>
                <w:b/>
                <w:bCs/>
                <w:iCs/>
              </w:rPr>
            </w:pPr>
            <w:r w:rsidRPr="0031391F">
              <w:rPr>
                <w:iCs/>
              </w:rPr>
              <w:t>Neclarificarea drepturilor reale/de creanță solicitate prin prezentul ghid, în termenii stabiliți de acesta, conduce la respingerea proiectului de la finanțare/rezilierea contractului de finanțare.</w:t>
            </w:r>
          </w:p>
        </w:tc>
      </w:tr>
      <w:tr w:rsidR="003C4AF1" w:rsidRPr="0031391F" w14:paraId="4FC94230" w14:textId="6DBDA093" w:rsidTr="0090527E">
        <w:tc>
          <w:tcPr>
            <w:tcW w:w="693" w:type="dxa"/>
          </w:tcPr>
          <w:p w14:paraId="59487052" w14:textId="5C321834" w:rsidR="003C4AF1" w:rsidRPr="0031391F" w:rsidRDefault="003C4AF1" w:rsidP="00200036">
            <w:pPr>
              <w:ind w:left="0"/>
              <w:jc w:val="center"/>
            </w:pPr>
            <w:r w:rsidRPr="0031391F">
              <w:t>3</w:t>
            </w:r>
          </w:p>
        </w:tc>
        <w:tc>
          <w:tcPr>
            <w:tcW w:w="6869" w:type="dxa"/>
          </w:tcPr>
          <w:p w14:paraId="4B09EFE0" w14:textId="55280087" w:rsidR="003C4AF1" w:rsidRPr="0031391F" w:rsidRDefault="00320A03" w:rsidP="00545B50">
            <w:pPr>
              <w:ind w:left="0"/>
            </w:pPr>
            <w:r w:rsidRPr="0031391F">
              <w:t>Declarațiile pe proprie răspundere actualizate, dacă au suferit modificări față de momentul depunerii cererii de finanțare</w:t>
            </w:r>
          </w:p>
        </w:tc>
        <w:tc>
          <w:tcPr>
            <w:tcW w:w="1179" w:type="dxa"/>
          </w:tcPr>
          <w:p w14:paraId="57444867" w14:textId="77777777" w:rsidR="003C4AF1" w:rsidRPr="0031391F" w:rsidRDefault="003C4AF1" w:rsidP="00545B50">
            <w:pPr>
              <w:ind w:left="0"/>
            </w:pPr>
          </w:p>
        </w:tc>
        <w:tc>
          <w:tcPr>
            <w:tcW w:w="5276" w:type="dxa"/>
          </w:tcPr>
          <w:p w14:paraId="1EC60CDC" w14:textId="6A0D87FC" w:rsidR="003C4AF1" w:rsidRPr="0031391F" w:rsidRDefault="00320A03" w:rsidP="00320A03">
            <w:pPr>
              <w:ind w:left="0"/>
            </w:pPr>
            <w:r w:rsidRPr="0031391F">
              <w:t xml:space="preserve">Se va avea în vedere momentul de la care trebuie îndeplinite criteriile de eligibilitate și care sunt elementele care se pot modifica pe parcursul procesului. De exemplu sunt acceptabile modificări ale încadrării în </w:t>
            </w:r>
            <w:r w:rsidRPr="0031391F">
              <w:lastRenderedPageBreak/>
              <w:t>categoria IMM, mai ales dacă pe parcursul procesului de evaluare, selecție, contractare s-a încheiat un an fiscal, modificări ce derivă din procesul de evaluare și selecție legate de bugetul proiectului și eligibilitatea unor cheltuieli, etc modificări care nu afecteze principiul competițional.</w:t>
            </w:r>
          </w:p>
        </w:tc>
      </w:tr>
      <w:tr w:rsidR="003C4AF1" w:rsidRPr="0031391F" w14:paraId="6330F5D4" w14:textId="2EE8054D" w:rsidTr="0090527E">
        <w:tc>
          <w:tcPr>
            <w:tcW w:w="693" w:type="dxa"/>
          </w:tcPr>
          <w:p w14:paraId="76FD0653" w14:textId="202B7243" w:rsidR="003C4AF1" w:rsidRPr="0031391F" w:rsidRDefault="003C4AF1" w:rsidP="00200036">
            <w:pPr>
              <w:ind w:left="0"/>
              <w:jc w:val="center"/>
            </w:pPr>
            <w:r w:rsidRPr="0031391F">
              <w:lastRenderedPageBreak/>
              <w:t>4</w:t>
            </w:r>
          </w:p>
        </w:tc>
        <w:tc>
          <w:tcPr>
            <w:tcW w:w="6869" w:type="dxa"/>
          </w:tcPr>
          <w:p w14:paraId="63E884A7" w14:textId="78DA1C78" w:rsidR="003C4AF1" w:rsidRPr="0031391F" w:rsidRDefault="00EB2975" w:rsidP="00545B50">
            <w:pPr>
              <w:ind w:left="0"/>
            </w:pPr>
            <w:r w:rsidRPr="0031391F">
              <w:t>Hotărâre organe statutare privind aprobarea cofinanțării proiectului (cheltuieli eligibile şi neeligibile și eventuale cheltuieli neprevăzute, inclusiv TVA acolo unde este cazul, precum și cheltuielile de mentenanță, operare pe perioada de durabilitate a investiției)</w:t>
            </w:r>
          </w:p>
        </w:tc>
        <w:tc>
          <w:tcPr>
            <w:tcW w:w="1179" w:type="dxa"/>
          </w:tcPr>
          <w:p w14:paraId="6A35E716" w14:textId="77777777" w:rsidR="003C4AF1" w:rsidRPr="0031391F" w:rsidRDefault="003C4AF1" w:rsidP="00545B50">
            <w:pPr>
              <w:ind w:left="0"/>
            </w:pPr>
          </w:p>
        </w:tc>
        <w:tc>
          <w:tcPr>
            <w:tcW w:w="5276" w:type="dxa"/>
          </w:tcPr>
          <w:p w14:paraId="1620295A" w14:textId="06D131EB" w:rsidR="003C4AF1" w:rsidRPr="0031391F" w:rsidRDefault="00EB2975" w:rsidP="00EB2975">
            <w:pPr>
              <w:ind w:left="0"/>
            </w:pPr>
            <w:r w:rsidRPr="0031391F">
              <w:t>Hotărârea organelor statutare privind aprobarea cofinanțării proiectului</w:t>
            </w:r>
            <w:r w:rsidR="00E84F6E" w:rsidRPr="0031391F">
              <w:t xml:space="preserve"> trebuie să cuprindă referiri la toate informațiile solicitate</w:t>
            </w:r>
            <w:r w:rsidRPr="0031391F">
              <w:t xml:space="preserve"> (cheltuieli eligibile şi neeligibile și eventuale cheltuieli neprevăzute, inclusiv TVA acolo unde este cazul, precum și cheltuielile de mentenanță, operare pe perioada de durabilitate a investiției)</w:t>
            </w:r>
          </w:p>
        </w:tc>
      </w:tr>
      <w:tr w:rsidR="003C4AF1" w:rsidRPr="0031391F" w14:paraId="7723FEBD" w14:textId="6ADF1505" w:rsidTr="0090527E">
        <w:tc>
          <w:tcPr>
            <w:tcW w:w="693" w:type="dxa"/>
          </w:tcPr>
          <w:p w14:paraId="6853A46C" w14:textId="3DCB2FE9" w:rsidR="003C4AF1" w:rsidRPr="0031391F" w:rsidRDefault="003C4AF1" w:rsidP="00200036">
            <w:pPr>
              <w:ind w:left="0"/>
              <w:jc w:val="center"/>
            </w:pPr>
            <w:r w:rsidRPr="0031391F">
              <w:t>5</w:t>
            </w:r>
          </w:p>
        </w:tc>
        <w:tc>
          <w:tcPr>
            <w:tcW w:w="6869" w:type="dxa"/>
          </w:tcPr>
          <w:p w14:paraId="6BD7BE57" w14:textId="332CB3CC" w:rsidR="003C4AF1" w:rsidRPr="0031391F" w:rsidRDefault="00E84F6E" w:rsidP="00545B50">
            <w:pPr>
              <w:ind w:left="0"/>
            </w:pPr>
            <w:r w:rsidRPr="0031391F">
              <w:t>Scrisoare de confort angajantă și/sau alte documente prin care să se facă dovada posibilității solicitantului de a asigura cofinanțarea cheltuielilor eligibile/neeligibile/TVA, după caz, în cadrul proiectului</w:t>
            </w:r>
          </w:p>
        </w:tc>
        <w:tc>
          <w:tcPr>
            <w:tcW w:w="1179" w:type="dxa"/>
          </w:tcPr>
          <w:p w14:paraId="4EADFA27" w14:textId="77777777" w:rsidR="003C4AF1" w:rsidRPr="0031391F" w:rsidRDefault="003C4AF1" w:rsidP="00545B50">
            <w:pPr>
              <w:ind w:left="0"/>
            </w:pPr>
          </w:p>
        </w:tc>
        <w:tc>
          <w:tcPr>
            <w:tcW w:w="5276" w:type="dxa"/>
          </w:tcPr>
          <w:p w14:paraId="0B364AEB" w14:textId="28C51A7F" w:rsidR="003C4AF1" w:rsidRPr="0031391F" w:rsidRDefault="00E84F6E" w:rsidP="00545B50">
            <w:pPr>
              <w:ind w:left="0"/>
            </w:pPr>
            <w:r w:rsidRPr="0031391F">
              <w:t>Pentru proiectele care vor fi selectate in urma evaluării AM această scrisoare va fi reconfirmată si prelungită, dacă este cazul</w:t>
            </w:r>
          </w:p>
        </w:tc>
      </w:tr>
      <w:tr w:rsidR="003C4AF1" w:rsidRPr="0031391F" w14:paraId="505BF41F" w14:textId="3CE4D4A4" w:rsidTr="0090527E">
        <w:tc>
          <w:tcPr>
            <w:tcW w:w="693" w:type="dxa"/>
          </w:tcPr>
          <w:p w14:paraId="3AF08BD3" w14:textId="36F9C0A2" w:rsidR="003C4AF1" w:rsidRPr="0031391F" w:rsidRDefault="003C4AF1" w:rsidP="00200036">
            <w:pPr>
              <w:ind w:left="0"/>
              <w:jc w:val="center"/>
            </w:pPr>
            <w:r w:rsidRPr="0031391F">
              <w:t>6</w:t>
            </w:r>
          </w:p>
        </w:tc>
        <w:tc>
          <w:tcPr>
            <w:tcW w:w="6869" w:type="dxa"/>
          </w:tcPr>
          <w:p w14:paraId="3930FE89" w14:textId="484D5C2D" w:rsidR="003C4AF1" w:rsidRPr="0031391F" w:rsidRDefault="00E84F6E" w:rsidP="00545B50">
            <w:pPr>
              <w:ind w:left="0"/>
            </w:pPr>
            <w:r w:rsidRPr="0031391F">
              <w:t>Certificarea EMAS (Sistemul European de Management de Mediu și Audit) ori alternativ ISO 14.001, dacă este cazul</w:t>
            </w:r>
          </w:p>
        </w:tc>
        <w:tc>
          <w:tcPr>
            <w:tcW w:w="1179" w:type="dxa"/>
          </w:tcPr>
          <w:p w14:paraId="27A1A24A" w14:textId="77777777" w:rsidR="003C4AF1" w:rsidRPr="0031391F" w:rsidRDefault="003C4AF1" w:rsidP="00545B50">
            <w:pPr>
              <w:ind w:left="0"/>
            </w:pPr>
          </w:p>
        </w:tc>
        <w:tc>
          <w:tcPr>
            <w:tcW w:w="5276" w:type="dxa"/>
          </w:tcPr>
          <w:p w14:paraId="31BE650E" w14:textId="50E939D8" w:rsidR="003C4AF1" w:rsidRPr="0031391F" w:rsidRDefault="00400A13" w:rsidP="00545B50">
            <w:pPr>
              <w:ind w:left="0"/>
            </w:pPr>
            <w:r w:rsidRPr="0031391F">
              <w:rPr>
                <w:color w:val="FF0000"/>
              </w:rPr>
              <w:t>Solicitantul deține o certificare EMAS / ISO 14001 validă la data depunerii cererii de finanțare.</w:t>
            </w:r>
          </w:p>
        </w:tc>
      </w:tr>
      <w:tr w:rsidR="003C4AF1" w:rsidRPr="0031391F" w14:paraId="5F619E2E" w14:textId="70379CE1" w:rsidTr="0090527E">
        <w:tc>
          <w:tcPr>
            <w:tcW w:w="693" w:type="dxa"/>
          </w:tcPr>
          <w:p w14:paraId="72B12366" w14:textId="265FC92A" w:rsidR="003C4AF1" w:rsidRPr="0031391F" w:rsidRDefault="003C4AF1" w:rsidP="00200036">
            <w:pPr>
              <w:ind w:left="0"/>
              <w:jc w:val="center"/>
            </w:pPr>
            <w:r w:rsidRPr="0031391F">
              <w:t>7</w:t>
            </w:r>
          </w:p>
        </w:tc>
        <w:tc>
          <w:tcPr>
            <w:tcW w:w="6869" w:type="dxa"/>
          </w:tcPr>
          <w:p w14:paraId="10A7ED9A" w14:textId="58659EBF" w:rsidR="003C4AF1" w:rsidRPr="0031391F" w:rsidRDefault="00E84F6E" w:rsidP="00E84F6E">
            <w:pPr>
              <w:ind w:left="0"/>
            </w:pPr>
            <w:r w:rsidRPr="0031391F">
              <w:t>Planul de monitorizare a proiectului</w:t>
            </w:r>
          </w:p>
        </w:tc>
        <w:tc>
          <w:tcPr>
            <w:tcW w:w="1179" w:type="dxa"/>
          </w:tcPr>
          <w:p w14:paraId="1552F601" w14:textId="77777777" w:rsidR="003C4AF1" w:rsidRPr="0031391F" w:rsidRDefault="003C4AF1" w:rsidP="00545B50">
            <w:pPr>
              <w:ind w:left="0"/>
            </w:pPr>
          </w:p>
        </w:tc>
        <w:tc>
          <w:tcPr>
            <w:tcW w:w="5276" w:type="dxa"/>
          </w:tcPr>
          <w:p w14:paraId="208A58EE" w14:textId="22655A81" w:rsidR="003C4AF1" w:rsidRPr="0031391F" w:rsidRDefault="00237D1E" w:rsidP="00545B50">
            <w:pPr>
              <w:ind w:left="0"/>
            </w:pPr>
            <w:r w:rsidRPr="0031391F">
              <w:t>Se va avea în vedere modelul din Anexa 14.6.7 la Ghidul solicitantului</w:t>
            </w:r>
          </w:p>
        </w:tc>
      </w:tr>
      <w:tr w:rsidR="003C4AF1" w:rsidRPr="0031391F" w14:paraId="0820E5DD" w14:textId="7682593B" w:rsidTr="0090527E">
        <w:tc>
          <w:tcPr>
            <w:tcW w:w="693" w:type="dxa"/>
          </w:tcPr>
          <w:p w14:paraId="36B87EB0" w14:textId="43B52095" w:rsidR="003C4AF1" w:rsidRPr="0031391F" w:rsidRDefault="003C4AF1" w:rsidP="00200036">
            <w:pPr>
              <w:ind w:left="0"/>
              <w:jc w:val="center"/>
            </w:pPr>
            <w:r w:rsidRPr="0031391F">
              <w:t>8</w:t>
            </w:r>
          </w:p>
        </w:tc>
        <w:tc>
          <w:tcPr>
            <w:tcW w:w="6869" w:type="dxa"/>
          </w:tcPr>
          <w:p w14:paraId="5EE1077E" w14:textId="4F4A9966" w:rsidR="003C4AF1" w:rsidRPr="0031391F" w:rsidRDefault="00E84F6E" w:rsidP="00545B50">
            <w:pPr>
              <w:ind w:left="0"/>
            </w:pPr>
            <w:r w:rsidRPr="0031391F">
              <w:t>Graficul de rambursare/plăți</w:t>
            </w:r>
          </w:p>
        </w:tc>
        <w:tc>
          <w:tcPr>
            <w:tcW w:w="1179" w:type="dxa"/>
          </w:tcPr>
          <w:p w14:paraId="79E959A4" w14:textId="77777777" w:rsidR="003C4AF1" w:rsidRPr="0031391F" w:rsidRDefault="003C4AF1" w:rsidP="00545B50">
            <w:pPr>
              <w:ind w:left="0"/>
            </w:pPr>
          </w:p>
        </w:tc>
        <w:tc>
          <w:tcPr>
            <w:tcW w:w="5276" w:type="dxa"/>
          </w:tcPr>
          <w:p w14:paraId="40AFD75D" w14:textId="77777777" w:rsidR="00101EAA" w:rsidRPr="0031391F" w:rsidRDefault="00101EAA" w:rsidP="00101EAA">
            <w:pPr>
              <w:ind w:left="0"/>
            </w:pPr>
            <w:r w:rsidRPr="0031391F">
              <w:t>Graficul menționat este un document obligatoriu solicitat în etapa de contractare care conține calendarul estimat pentru transmiterea cererilor respective și corelarea cu valoarea nerambursabilă solicitată în cadrul proiectului.</w:t>
            </w:r>
          </w:p>
          <w:p w14:paraId="01A6242C" w14:textId="34E5E753" w:rsidR="003C4AF1" w:rsidRPr="0031391F" w:rsidRDefault="00101EAA" w:rsidP="00101EAA">
            <w:pPr>
              <w:ind w:left="0"/>
            </w:pPr>
            <w:r w:rsidRPr="0031391F">
              <w:t>Beneficiarul are obligația de a respecta graficul prefinanțare/plată/rambursare, precum și de actualizare a acestuia în funcție de sumele decontate pentru un management financiar eficient în cadrul contractului de finanțare.</w:t>
            </w:r>
          </w:p>
        </w:tc>
      </w:tr>
      <w:tr w:rsidR="003C4AF1" w:rsidRPr="0031391F" w14:paraId="7E90085D" w14:textId="5DC669A6" w:rsidTr="0090527E">
        <w:tc>
          <w:tcPr>
            <w:tcW w:w="693" w:type="dxa"/>
          </w:tcPr>
          <w:p w14:paraId="61608C7D" w14:textId="16AFC32E" w:rsidR="003C4AF1" w:rsidRPr="0031391F" w:rsidRDefault="003C4AF1" w:rsidP="00200036">
            <w:pPr>
              <w:ind w:left="0"/>
              <w:jc w:val="center"/>
            </w:pPr>
            <w:r w:rsidRPr="0031391F">
              <w:lastRenderedPageBreak/>
              <w:t>9</w:t>
            </w:r>
          </w:p>
        </w:tc>
        <w:tc>
          <w:tcPr>
            <w:tcW w:w="6869" w:type="dxa"/>
          </w:tcPr>
          <w:p w14:paraId="4FFA8029" w14:textId="66F8C491" w:rsidR="003C4AF1" w:rsidRPr="0031391F" w:rsidRDefault="00E84F6E" w:rsidP="00545B50">
            <w:pPr>
              <w:ind w:left="0"/>
            </w:pPr>
            <w:r w:rsidRPr="0031391F">
              <w:t>Certificate de atestare fiscală, referitoare la obligațiile de plată la bugetul local și bugetul de stat</w:t>
            </w:r>
          </w:p>
        </w:tc>
        <w:tc>
          <w:tcPr>
            <w:tcW w:w="1179" w:type="dxa"/>
          </w:tcPr>
          <w:p w14:paraId="58137C2F" w14:textId="77777777" w:rsidR="003C4AF1" w:rsidRPr="0031391F" w:rsidRDefault="003C4AF1" w:rsidP="00545B50">
            <w:pPr>
              <w:ind w:left="0"/>
            </w:pPr>
          </w:p>
        </w:tc>
        <w:tc>
          <w:tcPr>
            <w:tcW w:w="5276" w:type="dxa"/>
          </w:tcPr>
          <w:p w14:paraId="6C6E33E3" w14:textId="77777777" w:rsidR="003C4AF1" w:rsidRPr="0031391F" w:rsidRDefault="00E84F6E" w:rsidP="00545B50">
            <w:pPr>
              <w:ind w:left="0"/>
            </w:pPr>
            <w:r w:rsidRPr="0031391F">
              <w:t>Certificatele de atestare fiscală referitoare la obligațiile de plată la bugetul local și bugetul de stat trebuie să fie în termenul de valabilitate. Solicitantul/partenerii trebuie să fi achitat obligațiile de plată nete către bugetul de stat și respectiv bugetul local în conformitate cu prevederile legale în vigoare</w:t>
            </w:r>
          </w:p>
          <w:p w14:paraId="1FCFF1F4" w14:textId="1B3F2026" w:rsidR="00E84F6E" w:rsidRPr="0031391F" w:rsidRDefault="00E84F6E" w:rsidP="00545B50">
            <w:pPr>
              <w:ind w:left="0"/>
            </w:pPr>
            <w:r w:rsidRPr="0031391F">
              <w:t>În cazul în care va fi disponibilă facilitatea privind interogarea bazelor de date electronice, AMPTJ/OIPTJ nu va solicita certificatele și va realiza verificările conform prevederilor Ghidului solicitantului, solicitantul la finanțare exprimându-și acordul cu privire la aceste aspecte prin transmiterea cererii de finanțare</w:t>
            </w:r>
          </w:p>
        </w:tc>
      </w:tr>
      <w:tr w:rsidR="00E84F6E" w:rsidRPr="0031391F" w14:paraId="0091A757" w14:textId="77777777" w:rsidTr="0090527E">
        <w:tc>
          <w:tcPr>
            <w:tcW w:w="693" w:type="dxa"/>
          </w:tcPr>
          <w:p w14:paraId="6A0E9470" w14:textId="13E06FC0" w:rsidR="00E84F6E" w:rsidRPr="0031391F" w:rsidRDefault="00E84F6E" w:rsidP="00200036">
            <w:pPr>
              <w:ind w:left="0"/>
              <w:jc w:val="center"/>
            </w:pPr>
            <w:r w:rsidRPr="0031391F">
              <w:t>10</w:t>
            </w:r>
          </w:p>
        </w:tc>
        <w:tc>
          <w:tcPr>
            <w:tcW w:w="6869" w:type="dxa"/>
          </w:tcPr>
          <w:p w14:paraId="4C617968" w14:textId="12121AC0" w:rsidR="00E84F6E" w:rsidRPr="0031391F" w:rsidRDefault="00E84F6E" w:rsidP="00545B50">
            <w:pPr>
              <w:ind w:left="0"/>
            </w:pPr>
            <w:r w:rsidRPr="0031391F">
              <w:t>Certificatul de cazier fiscal al solicitantului/partenerilor, după caz</w:t>
            </w:r>
          </w:p>
        </w:tc>
        <w:tc>
          <w:tcPr>
            <w:tcW w:w="1179" w:type="dxa"/>
          </w:tcPr>
          <w:p w14:paraId="527B7A20" w14:textId="77777777" w:rsidR="00E84F6E" w:rsidRPr="0031391F" w:rsidRDefault="00E84F6E" w:rsidP="00545B50">
            <w:pPr>
              <w:ind w:left="0"/>
            </w:pPr>
          </w:p>
        </w:tc>
        <w:tc>
          <w:tcPr>
            <w:tcW w:w="5276" w:type="dxa"/>
          </w:tcPr>
          <w:p w14:paraId="2F9EB9A4" w14:textId="77777777" w:rsidR="00E84F6E" w:rsidRPr="0031391F" w:rsidRDefault="00E84F6E" w:rsidP="00545B50">
            <w:pPr>
              <w:ind w:left="0"/>
            </w:pPr>
            <w:r w:rsidRPr="0031391F">
              <w:t>Certificatul de cazier fiscal trebuie să fie în termen de valabilitate, conform prevederilor OG nr. 39/2015 privind cazierul fiscal</w:t>
            </w:r>
          </w:p>
          <w:p w14:paraId="6608F451" w14:textId="7A579EC8" w:rsidR="00E84F6E" w:rsidRPr="0031391F" w:rsidRDefault="00E84F6E" w:rsidP="00545B50">
            <w:pPr>
              <w:ind w:left="0"/>
            </w:pPr>
            <w:r w:rsidRPr="0031391F">
              <w:t>În cazul în care va fi disponibilă facilitatea privind interogarea bazelor de date electronice, AMPTJ/OIPTJ nu va solicita certificatul și va realiza verificările conform prevederilor Ghidului solicitantului, solicitantul la finanțare exprimându-și acordul cu privire la aceste aspecte prin transmiterea cererii de finanțare</w:t>
            </w:r>
          </w:p>
        </w:tc>
      </w:tr>
      <w:tr w:rsidR="00E84F6E" w:rsidRPr="0031391F" w14:paraId="5CE51172" w14:textId="77777777" w:rsidTr="0090527E">
        <w:tc>
          <w:tcPr>
            <w:tcW w:w="693" w:type="dxa"/>
          </w:tcPr>
          <w:p w14:paraId="03996178" w14:textId="08B8B0A5" w:rsidR="00E84F6E" w:rsidRPr="0031391F" w:rsidRDefault="00E84F6E" w:rsidP="00200036">
            <w:pPr>
              <w:ind w:left="0"/>
              <w:jc w:val="center"/>
            </w:pPr>
            <w:r w:rsidRPr="0031391F">
              <w:t>11</w:t>
            </w:r>
          </w:p>
        </w:tc>
        <w:tc>
          <w:tcPr>
            <w:tcW w:w="6869" w:type="dxa"/>
          </w:tcPr>
          <w:p w14:paraId="2E3CF570" w14:textId="46355848" w:rsidR="00E84F6E" w:rsidRPr="0031391F" w:rsidRDefault="00E84F6E" w:rsidP="00545B50">
            <w:pPr>
              <w:ind w:left="0"/>
            </w:pPr>
            <w:r w:rsidRPr="0031391F">
              <w:t>Certificat de cazier judiciar al reprezentantului legal al solicitantului/partenerilor, dup caz, conform Legii nr. 290/2004 privind cazierul judiciar, republicată, cu modificările şi completările ulterioare</w:t>
            </w:r>
          </w:p>
        </w:tc>
        <w:tc>
          <w:tcPr>
            <w:tcW w:w="1179" w:type="dxa"/>
          </w:tcPr>
          <w:p w14:paraId="73A0900B" w14:textId="77777777" w:rsidR="00E84F6E" w:rsidRPr="0031391F" w:rsidRDefault="00E84F6E" w:rsidP="00545B50">
            <w:pPr>
              <w:ind w:left="0"/>
            </w:pPr>
          </w:p>
        </w:tc>
        <w:tc>
          <w:tcPr>
            <w:tcW w:w="5276" w:type="dxa"/>
          </w:tcPr>
          <w:p w14:paraId="71C2E556" w14:textId="63A6DA91" w:rsidR="00E84F6E" w:rsidRPr="0031391F" w:rsidRDefault="00E84F6E" w:rsidP="00E84F6E">
            <w:pPr>
              <w:ind w:left="0"/>
            </w:pPr>
            <w:r w:rsidRPr="0031391F">
              <w:t>În cazul în care va fi disponibilă facilitatea privind interogarea bazelor de date electronice, AMPTJ/OIPTJ nu va solicita certificatul și va realiza verificările conform prevederilor Ghidului solicitantului, solicitantul la finanțare exprimându-și acordul cu privire la aceste aspecte prin transmiterea cererii de finanțare</w:t>
            </w:r>
          </w:p>
        </w:tc>
      </w:tr>
      <w:tr w:rsidR="00E84F6E" w:rsidRPr="0031391F" w14:paraId="00189AB8" w14:textId="77777777" w:rsidTr="0090527E">
        <w:tc>
          <w:tcPr>
            <w:tcW w:w="693" w:type="dxa"/>
          </w:tcPr>
          <w:p w14:paraId="57C6F491" w14:textId="76459248" w:rsidR="00E84F6E" w:rsidRPr="0031391F" w:rsidRDefault="00E84F6E" w:rsidP="00200036">
            <w:pPr>
              <w:ind w:left="0"/>
              <w:jc w:val="center"/>
            </w:pPr>
            <w:r w:rsidRPr="0031391F">
              <w:t>12</w:t>
            </w:r>
          </w:p>
        </w:tc>
        <w:tc>
          <w:tcPr>
            <w:tcW w:w="6869" w:type="dxa"/>
          </w:tcPr>
          <w:p w14:paraId="06A13C0B" w14:textId="7CA8AB55" w:rsidR="00E84F6E" w:rsidRPr="0031391F" w:rsidRDefault="00E84F6E" w:rsidP="00BD13E2">
            <w:pPr>
              <w:ind w:left="0"/>
            </w:pPr>
            <w:r w:rsidRPr="0031391F">
              <w:t>Actul de împuternicire pentru semnare contract</w:t>
            </w:r>
            <w:r w:rsidR="00BD13E2" w:rsidRPr="0031391F">
              <w:t>, dacă este cazul</w:t>
            </w:r>
            <w:r w:rsidRPr="0031391F">
              <w:t xml:space="preserve"> </w:t>
            </w:r>
          </w:p>
        </w:tc>
        <w:tc>
          <w:tcPr>
            <w:tcW w:w="1179" w:type="dxa"/>
          </w:tcPr>
          <w:p w14:paraId="728919EE" w14:textId="77777777" w:rsidR="00E84F6E" w:rsidRPr="0031391F" w:rsidRDefault="00E84F6E" w:rsidP="00545B50">
            <w:pPr>
              <w:ind w:left="0"/>
            </w:pPr>
          </w:p>
        </w:tc>
        <w:tc>
          <w:tcPr>
            <w:tcW w:w="5276" w:type="dxa"/>
          </w:tcPr>
          <w:p w14:paraId="10B4B88C" w14:textId="23AC6B03" w:rsidR="00E84F6E" w:rsidRPr="0031391F" w:rsidRDefault="00BD13E2" w:rsidP="00545B50">
            <w:pPr>
              <w:ind w:left="0"/>
            </w:pPr>
            <w:r w:rsidRPr="0031391F">
              <w:t>Documentul este obligatoriu doar în cazul împuternicirii pentru semnarea contractului de finanțare</w:t>
            </w:r>
          </w:p>
        </w:tc>
      </w:tr>
      <w:tr w:rsidR="00F9695E" w:rsidRPr="0031391F" w14:paraId="68BA0E9B" w14:textId="77777777" w:rsidTr="0090527E">
        <w:tc>
          <w:tcPr>
            <w:tcW w:w="693" w:type="dxa"/>
          </w:tcPr>
          <w:p w14:paraId="69014AF0" w14:textId="7F59FE9E" w:rsidR="00F9695E" w:rsidRPr="0031391F" w:rsidRDefault="00F9695E" w:rsidP="00200036">
            <w:pPr>
              <w:ind w:left="0"/>
              <w:jc w:val="center"/>
            </w:pPr>
            <w:r w:rsidRPr="0031391F">
              <w:lastRenderedPageBreak/>
              <w:t>13</w:t>
            </w:r>
          </w:p>
        </w:tc>
        <w:tc>
          <w:tcPr>
            <w:tcW w:w="6869" w:type="dxa"/>
          </w:tcPr>
          <w:p w14:paraId="71A4C349" w14:textId="74527861" w:rsidR="00F9695E" w:rsidRPr="0031391F" w:rsidRDefault="00F9695E" w:rsidP="00BD13E2">
            <w:pPr>
              <w:ind w:left="0"/>
            </w:pPr>
            <w:r w:rsidRPr="0031391F">
              <w:t>Alte documente (se vor preciza punctual, după caz)</w:t>
            </w:r>
          </w:p>
        </w:tc>
        <w:tc>
          <w:tcPr>
            <w:tcW w:w="1179" w:type="dxa"/>
          </w:tcPr>
          <w:p w14:paraId="58E4A926" w14:textId="77777777" w:rsidR="00F9695E" w:rsidRPr="0031391F" w:rsidRDefault="00F9695E" w:rsidP="00545B50">
            <w:pPr>
              <w:ind w:left="0"/>
            </w:pPr>
          </w:p>
        </w:tc>
        <w:tc>
          <w:tcPr>
            <w:tcW w:w="5276" w:type="dxa"/>
          </w:tcPr>
          <w:p w14:paraId="573A0AB8" w14:textId="51520E2A" w:rsidR="00F9695E" w:rsidRPr="0031391F" w:rsidRDefault="00F9695E" w:rsidP="00F9695E">
            <w:pPr>
              <w:ind w:left="0"/>
            </w:pPr>
            <w:r w:rsidRPr="0031391F">
              <w:t>În cazul în care anumite documente își pierd valabilitatea pe parcursul procesului de evaluare sau prezintă erori materiale, AMPTJ/OI PTJ va solicita retransmiterea acestora în etapa de contractare</w:t>
            </w:r>
          </w:p>
        </w:tc>
      </w:tr>
      <w:tr w:rsidR="00AB1044" w:rsidRPr="0031391F" w14:paraId="2B48ADCF" w14:textId="0781EB1F" w:rsidTr="0090527E">
        <w:tc>
          <w:tcPr>
            <w:tcW w:w="693" w:type="dxa"/>
          </w:tcPr>
          <w:p w14:paraId="68F6BFFE" w14:textId="1731F3A2" w:rsidR="00AB1044" w:rsidRPr="0031391F" w:rsidRDefault="00AB1044" w:rsidP="00200036">
            <w:pPr>
              <w:ind w:left="0"/>
              <w:jc w:val="center"/>
              <w:rPr>
                <w:b/>
              </w:rPr>
            </w:pPr>
            <w:r w:rsidRPr="0031391F">
              <w:rPr>
                <w:b/>
              </w:rPr>
              <w:t>B</w:t>
            </w:r>
          </w:p>
        </w:tc>
        <w:tc>
          <w:tcPr>
            <w:tcW w:w="13324" w:type="dxa"/>
            <w:gridSpan w:val="3"/>
          </w:tcPr>
          <w:p w14:paraId="1E25B0B2" w14:textId="595FD3A7" w:rsidR="00AB1044" w:rsidRPr="0031391F" w:rsidRDefault="00AB1044" w:rsidP="00545B50">
            <w:pPr>
              <w:ind w:left="0"/>
              <w:rPr>
                <w:b/>
              </w:rPr>
            </w:pPr>
            <w:r w:rsidRPr="0031391F">
              <w:rPr>
                <w:b/>
              </w:rPr>
              <w:t>Respectarea condițiilor de eligibilitate</w:t>
            </w:r>
          </w:p>
        </w:tc>
      </w:tr>
      <w:tr w:rsidR="0076094A" w:rsidRPr="0031391F" w14:paraId="03B286EB" w14:textId="77777777" w:rsidTr="0090527E">
        <w:tc>
          <w:tcPr>
            <w:tcW w:w="693" w:type="dxa"/>
          </w:tcPr>
          <w:p w14:paraId="0F1A8D18" w14:textId="4922B8D5" w:rsidR="0076094A" w:rsidRPr="0031391F" w:rsidRDefault="0076094A" w:rsidP="00200036">
            <w:pPr>
              <w:ind w:left="0"/>
              <w:jc w:val="center"/>
              <w:rPr>
                <w:b/>
              </w:rPr>
            </w:pPr>
            <w:r w:rsidRPr="0031391F">
              <w:rPr>
                <w:b/>
              </w:rPr>
              <w:t>B</w:t>
            </w:r>
            <w:r w:rsidR="006B7B3B" w:rsidRPr="0031391F">
              <w:rPr>
                <w:b/>
              </w:rPr>
              <w:t>.</w:t>
            </w:r>
            <w:r w:rsidRPr="0031391F">
              <w:rPr>
                <w:b/>
              </w:rPr>
              <w:t>1</w:t>
            </w:r>
          </w:p>
        </w:tc>
        <w:tc>
          <w:tcPr>
            <w:tcW w:w="13324" w:type="dxa"/>
            <w:gridSpan w:val="3"/>
          </w:tcPr>
          <w:p w14:paraId="08A381AD" w14:textId="05D5F971" w:rsidR="0076094A" w:rsidRPr="0031391F" w:rsidRDefault="0076094A" w:rsidP="00545B50">
            <w:pPr>
              <w:ind w:left="0"/>
              <w:rPr>
                <w:b/>
              </w:rPr>
            </w:pPr>
            <w:r w:rsidRPr="0031391F">
              <w:rPr>
                <w:b/>
              </w:rPr>
              <w:t>Eligibilitatea solicitantului</w:t>
            </w:r>
          </w:p>
        </w:tc>
      </w:tr>
      <w:tr w:rsidR="003C4AF1" w:rsidRPr="0031391F" w14:paraId="00AE1339" w14:textId="26F86B7E" w:rsidTr="0090527E">
        <w:tc>
          <w:tcPr>
            <w:tcW w:w="693" w:type="dxa"/>
          </w:tcPr>
          <w:p w14:paraId="7FEEC1BF" w14:textId="64B704A1" w:rsidR="003C4AF1" w:rsidRPr="0031391F" w:rsidRDefault="003C4AF1" w:rsidP="00200036">
            <w:pPr>
              <w:ind w:left="0"/>
              <w:jc w:val="center"/>
            </w:pPr>
            <w:r w:rsidRPr="0031391F">
              <w:t>1</w:t>
            </w:r>
          </w:p>
        </w:tc>
        <w:tc>
          <w:tcPr>
            <w:tcW w:w="6869" w:type="dxa"/>
          </w:tcPr>
          <w:p w14:paraId="058BB506" w14:textId="3C8FD609" w:rsidR="003C4AF1" w:rsidRPr="0031391F" w:rsidRDefault="006B7B3B" w:rsidP="00200036">
            <w:pPr>
              <w:ind w:left="0"/>
            </w:pPr>
            <w:r w:rsidRPr="0031391F">
              <w:t>Solicitantul este o societate constituită în baza Legii nr. 31/1990 privind societățile, cu modificările și completările ulterioare sau în baza Legii nr. 1/2005 privind organizarea şi funcţionarea cooperaţiei, cu modificările și completările ulterioare, după caz</w:t>
            </w:r>
          </w:p>
        </w:tc>
        <w:tc>
          <w:tcPr>
            <w:tcW w:w="1179" w:type="dxa"/>
          </w:tcPr>
          <w:p w14:paraId="5BAC6BBD" w14:textId="77777777" w:rsidR="003C4AF1" w:rsidRPr="0031391F" w:rsidRDefault="003C4AF1" w:rsidP="00200036">
            <w:pPr>
              <w:ind w:left="0"/>
            </w:pPr>
          </w:p>
        </w:tc>
        <w:tc>
          <w:tcPr>
            <w:tcW w:w="5276" w:type="dxa"/>
          </w:tcPr>
          <w:p w14:paraId="2340778C" w14:textId="212BFDB2" w:rsidR="003C4AF1" w:rsidRPr="0031391F" w:rsidRDefault="00501A89" w:rsidP="00501A89">
            <w:pPr>
              <w:ind w:left="0"/>
            </w:pPr>
            <w:r w:rsidRPr="0031391F">
              <w:t>Documente justificative: Act constitutiv, contract de societate, statut, în formă consolidată (care cuprinde toate modificările efectuate de la înfiinţarea solicitantului, până la depunerea cererii de finanţare). Informațiile din documentele statutare trebuie să corespundă cu informațiile ce reies din Certificatul constatator ONRC</w:t>
            </w:r>
          </w:p>
        </w:tc>
      </w:tr>
      <w:tr w:rsidR="003C4AF1" w:rsidRPr="0031391F" w14:paraId="4C297D3A" w14:textId="7B37073A" w:rsidTr="0090527E">
        <w:tc>
          <w:tcPr>
            <w:tcW w:w="693" w:type="dxa"/>
          </w:tcPr>
          <w:p w14:paraId="117C1565" w14:textId="5C398B19" w:rsidR="003C4AF1" w:rsidRPr="0031391F" w:rsidRDefault="003C4AF1" w:rsidP="00200036">
            <w:pPr>
              <w:ind w:left="0"/>
              <w:jc w:val="center"/>
            </w:pPr>
            <w:r w:rsidRPr="0031391F">
              <w:t>2</w:t>
            </w:r>
          </w:p>
        </w:tc>
        <w:tc>
          <w:tcPr>
            <w:tcW w:w="6869" w:type="dxa"/>
          </w:tcPr>
          <w:p w14:paraId="604D7405" w14:textId="2802DFF3" w:rsidR="003C4AF1" w:rsidRPr="0031391F" w:rsidRDefault="006B7B3B" w:rsidP="00200036">
            <w:pPr>
              <w:ind w:left="0"/>
            </w:pPr>
            <w:r w:rsidRPr="0031391F">
              <w:t>Societatea a fost înființată cel târziu la data de 31 decembrie 202</w:t>
            </w:r>
            <w:r w:rsidR="00CF58BA">
              <w:t>1</w:t>
            </w:r>
            <w:r w:rsidRPr="0031391F">
              <w:t xml:space="preserve"> și nu a avut activitatea suspendată temporar oricând în anul curent depunerii cererii de finanțare (2023) și în anul fiscal anterior (2022), în conformitate cu informațiile preluate de la Oficiul Național al Registrului Comerţului (ONRC)</w:t>
            </w:r>
          </w:p>
        </w:tc>
        <w:tc>
          <w:tcPr>
            <w:tcW w:w="1179" w:type="dxa"/>
          </w:tcPr>
          <w:p w14:paraId="1668C3BA" w14:textId="77777777" w:rsidR="003C4AF1" w:rsidRPr="0031391F" w:rsidRDefault="003C4AF1" w:rsidP="00200036">
            <w:pPr>
              <w:ind w:left="0"/>
            </w:pPr>
          </w:p>
        </w:tc>
        <w:tc>
          <w:tcPr>
            <w:tcW w:w="5276" w:type="dxa"/>
          </w:tcPr>
          <w:p w14:paraId="12EC4F12" w14:textId="77777777" w:rsidR="003C4AF1" w:rsidRPr="0031391F" w:rsidRDefault="00501A89" w:rsidP="00501A89">
            <w:pPr>
              <w:ind w:left="0"/>
            </w:pPr>
            <w:r w:rsidRPr="0031391F">
              <w:t>Documente justificative: Certificatul constatator și Furnizare informații extinse, emise de Oficiul Registrului Comerţului de pe lângă tribunalul unde îşi are sediul solicitantul, ori prin serviciul InfoCert</w:t>
            </w:r>
          </w:p>
          <w:p w14:paraId="46974239" w14:textId="77777777" w:rsidR="0090527E" w:rsidRPr="0031391F" w:rsidRDefault="00501A89" w:rsidP="00501A89">
            <w:pPr>
              <w:ind w:left="0"/>
            </w:pPr>
            <w:r w:rsidRPr="0031391F">
              <w:t>Certificatul ONRC asigură opozabilitatea informațiilor față de terți, iar situația statutară a întreprinderii va fi analizată în funcție de opozabilitatea informațiilor din documentele ONRC</w:t>
            </w:r>
            <w:r w:rsidR="0090527E" w:rsidRPr="0031391F">
              <w:t xml:space="preserve"> </w:t>
            </w:r>
          </w:p>
          <w:p w14:paraId="091D4651" w14:textId="2A422522" w:rsidR="00501A89" w:rsidRPr="0031391F" w:rsidRDefault="0090527E" w:rsidP="00501A89">
            <w:pPr>
              <w:ind w:left="0"/>
            </w:pPr>
            <w:r w:rsidRPr="0031391F">
              <w:t>Sucursalele, agențiile, reprezentanțele sau alte unități fără personalitate juridică nu sunt eligibile</w:t>
            </w:r>
          </w:p>
        </w:tc>
      </w:tr>
      <w:tr w:rsidR="003C4AF1" w:rsidRPr="0031391F" w14:paraId="695D6675" w14:textId="431F49D9" w:rsidTr="0090527E">
        <w:tc>
          <w:tcPr>
            <w:tcW w:w="693" w:type="dxa"/>
          </w:tcPr>
          <w:p w14:paraId="0028F4D5" w14:textId="089B06AB" w:rsidR="003C4AF1" w:rsidRPr="0031391F" w:rsidRDefault="0090527E" w:rsidP="00200036">
            <w:pPr>
              <w:ind w:left="0"/>
              <w:jc w:val="center"/>
            </w:pPr>
            <w:r w:rsidRPr="0031391F">
              <w:t>3</w:t>
            </w:r>
          </w:p>
        </w:tc>
        <w:tc>
          <w:tcPr>
            <w:tcW w:w="6869" w:type="dxa"/>
          </w:tcPr>
          <w:p w14:paraId="3E45440E" w14:textId="1F62DC0D" w:rsidR="003C4AF1" w:rsidRPr="0031391F" w:rsidRDefault="006B7B3B" w:rsidP="00200036">
            <w:pPr>
              <w:ind w:left="0"/>
            </w:pPr>
            <w:r w:rsidRPr="0031391F">
              <w:t>Societatea a înregistrat profit din exploatare (&gt;0 lei) în anul fiscal anterior depunerii cererii de finanțare (2022)</w:t>
            </w:r>
          </w:p>
        </w:tc>
        <w:tc>
          <w:tcPr>
            <w:tcW w:w="1179" w:type="dxa"/>
          </w:tcPr>
          <w:p w14:paraId="02509B2B" w14:textId="77777777" w:rsidR="003C4AF1" w:rsidRPr="0031391F" w:rsidRDefault="003C4AF1" w:rsidP="00200036">
            <w:pPr>
              <w:ind w:left="0"/>
            </w:pPr>
          </w:p>
        </w:tc>
        <w:tc>
          <w:tcPr>
            <w:tcW w:w="5276" w:type="dxa"/>
          </w:tcPr>
          <w:p w14:paraId="2260DB0E" w14:textId="02F78ABE" w:rsidR="003C4AF1" w:rsidRPr="0031391F" w:rsidRDefault="006B7B3B" w:rsidP="00200036">
            <w:pPr>
              <w:ind w:left="0"/>
            </w:pPr>
            <w:r w:rsidRPr="0031391F">
              <w:t xml:space="preserve">Profitul din exploatare se referă la întreaga activitate a societății (i.e. indiferent de domeniul de activitate vizat de investiție). Criteriul se menține și în etapa de contractare dacă intervine pe parcursul procesului de </w:t>
            </w:r>
            <w:r w:rsidRPr="0031391F">
              <w:lastRenderedPageBreak/>
              <w:t>evaluare selecție și contractare încheierea unui nou an fiscal</w:t>
            </w:r>
          </w:p>
        </w:tc>
      </w:tr>
      <w:tr w:rsidR="003C4AF1" w:rsidRPr="0031391F" w14:paraId="586BB6BA" w14:textId="78C07E07" w:rsidTr="0090527E">
        <w:tc>
          <w:tcPr>
            <w:tcW w:w="693" w:type="dxa"/>
          </w:tcPr>
          <w:p w14:paraId="2F0E0563" w14:textId="28D0C594" w:rsidR="003C4AF1" w:rsidRPr="0031391F" w:rsidRDefault="0090527E" w:rsidP="00200036">
            <w:pPr>
              <w:ind w:left="0"/>
              <w:jc w:val="center"/>
            </w:pPr>
            <w:r w:rsidRPr="0031391F">
              <w:lastRenderedPageBreak/>
              <w:t>4</w:t>
            </w:r>
          </w:p>
        </w:tc>
        <w:tc>
          <w:tcPr>
            <w:tcW w:w="6869" w:type="dxa"/>
          </w:tcPr>
          <w:p w14:paraId="47F1696D" w14:textId="178BC1C8" w:rsidR="003C4AF1" w:rsidRPr="0031391F" w:rsidRDefault="00021DE1" w:rsidP="00200036">
            <w:pPr>
              <w:ind w:left="0"/>
            </w:pPr>
            <w:r w:rsidRPr="0031391F">
              <w:t>Solicitantul se încadrează în categoria microîntreprinderilor, întreprinderilor mici sau mijlocii, în sensul prevederilor art. 4, alin. (1)  din Legea nr. 346/2004 privind stimularea înființării și dezvoltării IMM-urilor, cu modificările și completările ulterioare, precum și cu prevederile Anexei I Definiția IMM la Regulamentul (UE) nr. 651/2014 al Comisiei din 17 iunie 2014 de declarare a anumitor categorii de ajutoare compatibile cu piața internă în aplicarea articolelor 107 și 108 din tratat, cu modificările si completările ulterioare, atât la data solicitării finanțării (i.e. data depunerii cererii de finanțare), cât și la data acordării finanțării (i.e. data semnării contractului de finanțare)</w:t>
            </w:r>
          </w:p>
        </w:tc>
        <w:tc>
          <w:tcPr>
            <w:tcW w:w="1179" w:type="dxa"/>
          </w:tcPr>
          <w:p w14:paraId="136658DC" w14:textId="77777777" w:rsidR="003C4AF1" w:rsidRPr="0031391F" w:rsidRDefault="003C4AF1" w:rsidP="00200036">
            <w:pPr>
              <w:ind w:left="0"/>
            </w:pPr>
          </w:p>
        </w:tc>
        <w:tc>
          <w:tcPr>
            <w:tcW w:w="5276" w:type="dxa"/>
          </w:tcPr>
          <w:p w14:paraId="708A9640" w14:textId="54BBA7F1" w:rsidR="00021DE1" w:rsidRPr="0031391F" w:rsidRDefault="00021DE1" w:rsidP="00021DE1">
            <w:pPr>
              <w:ind w:left="0"/>
            </w:pPr>
            <w:r w:rsidRPr="0031391F">
              <w:t xml:space="preserve">În conformitate cu Legea 346/2004 privind stimularea înființării şi dezvoltării IMM, cu modificările şi completările ulterioare și </w:t>
            </w:r>
            <w:r w:rsidR="0090527E" w:rsidRPr="0031391F">
              <w:t>Regulamentul (UE) nr. 651/2014,</w:t>
            </w:r>
            <w:r w:rsidRPr="0031391F">
              <w:t xml:space="preserve"> întreprinderile mici şi mijlocii se clasifică, în funcție de numărul mediu anual de salariați şi de cifra de afaceri anuală netă sau de activele totale pe care le dețin, în următoarele categorii:</w:t>
            </w:r>
          </w:p>
          <w:p w14:paraId="0FB2FE87" w14:textId="77777777" w:rsidR="00021DE1" w:rsidRPr="0031391F" w:rsidRDefault="00021DE1" w:rsidP="00021DE1">
            <w:pPr>
              <w:ind w:left="0"/>
            </w:pPr>
            <w:r w:rsidRPr="0031391F">
              <w:t>-</w:t>
            </w:r>
            <w:r w:rsidRPr="0031391F">
              <w:tab/>
              <w:t>întreprindere mijlocie are mai puțin de 250 de salariați şi realizează o cifră de afaceri anuală netă de până la 50 milioane euro, echivalent în lei, sau deţin active totale care nu depășesc echivalentul în lei a 43 milioane euro</w:t>
            </w:r>
          </w:p>
          <w:p w14:paraId="60DB3C76" w14:textId="77777777" w:rsidR="00021DE1" w:rsidRPr="0031391F" w:rsidRDefault="00021DE1" w:rsidP="00021DE1">
            <w:pPr>
              <w:ind w:left="0"/>
            </w:pPr>
            <w:r w:rsidRPr="0031391F">
              <w:t>-</w:t>
            </w:r>
            <w:r w:rsidRPr="0031391F">
              <w:tab/>
              <w:t>întreprindere mică are mai puțin de 50 de salariați şi realizează o cifră de afaceri anuală netă sau deţin active totale de până la 10 milioane euro, echivalent în lei</w:t>
            </w:r>
          </w:p>
          <w:p w14:paraId="55AB5647" w14:textId="77777777" w:rsidR="00021DE1" w:rsidRPr="0031391F" w:rsidRDefault="00021DE1" w:rsidP="00021DE1">
            <w:pPr>
              <w:ind w:left="0"/>
            </w:pPr>
            <w:r w:rsidRPr="0031391F">
              <w:t>-</w:t>
            </w:r>
            <w:r w:rsidRPr="0031391F">
              <w:tab/>
              <w:t>microîntreprindere are mai puțin de 10 salariați şi realizează o cifră de afaceri anuală netă sau deține active totale de până la 2 milioane euro, echivalent în lei;</w:t>
            </w:r>
          </w:p>
          <w:p w14:paraId="5EB55FB1" w14:textId="77777777" w:rsidR="00021DE1" w:rsidRPr="0031391F" w:rsidRDefault="00021DE1" w:rsidP="00021DE1">
            <w:pPr>
              <w:ind w:left="0"/>
            </w:pPr>
            <w:r w:rsidRPr="0031391F">
              <w:t xml:space="preserve">Se recomandă o atenție sporită în aplicarea corectă a prevederilor Legii 346/2004, cu modificările și completările ulterioare, în special în ceea ce privește identificarea întreprinderilor partenere și/sau legate cu întreprinderea solicitantă. Încadrarea datelor solicitantului (a numărului mediu anual de salariați şi a cifrei de afaceri anuale nete/ activelor totale) în pragurile prevăzute pentru categoria IMM-urilor se verifică abia după luarea în calcul a datelor aferente tuturor întreprinderilor partenere şi ale celor legate cu întreprinderea solicitantă, identificate conform legii.  A se </w:t>
            </w:r>
            <w:r w:rsidRPr="0031391F">
              <w:lastRenderedPageBreak/>
              <w:t>vedea anexa 14.7 la prezentul ghid pentru detalii suplimentare în acest sens .</w:t>
            </w:r>
          </w:p>
          <w:p w14:paraId="749AF437" w14:textId="77777777" w:rsidR="00021DE1" w:rsidRPr="0031391F" w:rsidRDefault="00021DE1" w:rsidP="00021DE1">
            <w:pPr>
              <w:ind w:left="0"/>
            </w:pPr>
            <w:r w:rsidRPr="0031391F">
              <w:t>Datele utilizate pentru calculul numărului mediu anual de salariaţi, cifra de afaceri netă anuală şi activele totale sunt cele raportate în situațiile financiare, aprobate de adunarea generală a acționarilor sau asociaților conform art. 6 alin (1) din Legea 346/2004.</w:t>
            </w:r>
          </w:p>
          <w:p w14:paraId="151E213E" w14:textId="77777777" w:rsidR="00021DE1" w:rsidRPr="0031391F" w:rsidRDefault="00021DE1" w:rsidP="00021DE1">
            <w:pPr>
              <w:ind w:left="0"/>
            </w:pPr>
            <w:r w:rsidRPr="0031391F">
              <w:t xml:space="preserve">Este riscul solicitantului în cazul în care condițiile nu sunt menținute, acesta devenind ne-eligibil pentru obținerea finanțării în cadrul prezentului apel, inclusiv în cazul în care se schimbă încadrarea în întreprindere mare. </w:t>
            </w:r>
          </w:p>
          <w:p w14:paraId="0BAFB97F" w14:textId="2A18E5C6" w:rsidR="003C4AF1" w:rsidRPr="0031391F" w:rsidRDefault="00021DE1" w:rsidP="00021DE1">
            <w:pPr>
              <w:ind w:left="0"/>
            </w:pPr>
            <w:r w:rsidRPr="0031391F">
              <w:t>De asemenea, în cazul în care în cadrul procesului de evaluare, selecție, contractare se încheie un an fiscal, solicitantul va actualiza informațiile legate de situațiile financiare, încadrarea în diferitele categorii de întreprinderi.</w:t>
            </w:r>
          </w:p>
        </w:tc>
      </w:tr>
      <w:tr w:rsidR="003C4AF1" w:rsidRPr="0031391F" w14:paraId="6269C4CB" w14:textId="6F6C06CA" w:rsidTr="0090527E">
        <w:tc>
          <w:tcPr>
            <w:tcW w:w="693" w:type="dxa"/>
          </w:tcPr>
          <w:p w14:paraId="051542A4" w14:textId="6C1F58B7" w:rsidR="003C4AF1" w:rsidRPr="0031391F" w:rsidRDefault="0090527E" w:rsidP="00200036">
            <w:pPr>
              <w:ind w:left="0"/>
              <w:jc w:val="center"/>
            </w:pPr>
            <w:r w:rsidRPr="0031391F">
              <w:lastRenderedPageBreak/>
              <w:t>5</w:t>
            </w:r>
          </w:p>
        </w:tc>
        <w:tc>
          <w:tcPr>
            <w:tcW w:w="6869" w:type="dxa"/>
          </w:tcPr>
          <w:p w14:paraId="1BAA4C12" w14:textId="2BAAC434" w:rsidR="003C4AF1" w:rsidRPr="0031391F" w:rsidRDefault="003C4AF1" w:rsidP="00200036">
            <w:pPr>
              <w:ind w:left="0"/>
            </w:pPr>
            <w:r w:rsidRPr="0031391F">
              <w:t>Declarația privind încadrarea în categoriile IMM identifică întreprinderile partenere și legate, după caz, iar datele cumulate sunt calculate în mod corespunzător, luând în considerare datele întreprinderilor partenere și legate</w:t>
            </w:r>
          </w:p>
        </w:tc>
        <w:tc>
          <w:tcPr>
            <w:tcW w:w="1179" w:type="dxa"/>
          </w:tcPr>
          <w:p w14:paraId="6F3514BF" w14:textId="77777777" w:rsidR="003C4AF1" w:rsidRPr="0031391F" w:rsidRDefault="003C4AF1" w:rsidP="00200036">
            <w:pPr>
              <w:ind w:left="0"/>
            </w:pPr>
          </w:p>
        </w:tc>
        <w:tc>
          <w:tcPr>
            <w:tcW w:w="5276" w:type="dxa"/>
          </w:tcPr>
          <w:p w14:paraId="1E4D626E" w14:textId="77777777" w:rsidR="003C4AF1" w:rsidRPr="0031391F" w:rsidRDefault="003C4AF1" w:rsidP="00200036">
            <w:pPr>
              <w:ind w:left="0"/>
            </w:pPr>
          </w:p>
        </w:tc>
      </w:tr>
      <w:tr w:rsidR="003C4AF1" w:rsidRPr="0031391F" w14:paraId="6F469EB1" w14:textId="19C5D0EF" w:rsidTr="0090527E">
        <w:tc>
          <w:tcPr>
            <w:tcW w:w="693" w:type="dxa"/>
          </w:tcPr>
          <w:p w14:paraId="7CCBCC2B" w14:textId="1DF79B03" w:rsidR="003C4AF1" w:rsidRPr="0031391F" w:rsidRDefault="0090527E" w:rsidP="00200036">
            <w:pPr>
              <w:ind w:left="0"/>
              <w:jc w:val="center"/>
            </w:pPr>
            <w:r w:rsidRPr="0031391F">
              <w:t>6</w:t>
            </w:r>
          </w:p>
        </w:tc>
        <w:tc>
          <w:tcPr>
            <w:tcW w:w="6869" w:type="dxa"/>
          </w:tcPr>
          <w:p w14:paraId="3164905F" w14:textId="69613FB5" w:rsidR="0090527E" w:rsidRPr="0031391F" w:rsidRDefault="003C4AF1" w:rsidP="00200036">
            <w:pPr>
              <w:ind w:left="0"/>
              <w:rPr>
                <w:i/>
              </w:rPr>
            </w:pPr>
            <w:r w:rsidRPr="0031391F">
              <w:t xml:space="preserve">Dacă solicitantul formează o întreprindere unică cu alte întreprinderi, în sensul Regulamentului (UE) nr. 1407/2013 al Comisiei din 18 decembrie 2013 privind aplicarea articolelor 107 și 108 din Tratatul privind funcționarea Uniunii Europene ajutoarelor de minimis, acestea sunt identificate în mod corespunzător în Cererea de finantare, în </w:t>
            </w:r>
            <w:r w:rsidRPr="0031391F">
              <w:rPr>
                <w:i/>
              </w:rPr>
              <w:t>secțiunea Entitate juridică/Structura grupului</w:t>
            </w:r>
          </w:p>
        </w:tc>
        <w:tc>
          <w:tcPr>
            <w:tcW w:w="1179" w:type="dxa"/>
          </w:tcPr>
          <w:p w14:paraId="7A036500" w14:textId="77777777" w:rsidR="003C4AF1" w:rsidRPr="0031391F" w:rsidRDefault="003C4AF1" w:rsidP="00200036">
            <w:pPr>
              <w:ind w:left="0"/>
            </w:pPr>
          </w:p>
        </w:tc>
        <w:tc>
          <w:tcPr>
            <w:tcW w:w="5276" w:type="dxa"/>
          </w:tcPr>
          <w:p w14:paraId="54ED126D" w14:textId="77777777" w:rsidR="003C4AF1" w:rsidRPr="0031391F" w:rsidRDefault="003C4AF1" w:rsidP="00200036">
            <w:pPr>
              <w:ind w:left="0"/>
            </w:pPr>
          </w:p>
        </w:tc>
      </w:tr>
      <w:tr w:rsidR="003C4AF1" w:rsidRPr="0031391F" w14:paraId="27ECD5E9" w14:textId="25E8C2E1" w:rsidTr="0090527E">
        <w:tc>
          <w:tcPr>
            <w:tcW w:w="693" w:type="dxa"/>
          </w:tcPr>
          <w:p w14:paraId="713A50BD" w14:textId="17022379" w:rsidR="003C4AF1" w:rsidRPr="0031391F" w:rsidRDefault="0090527E" w:rsidP="00200036">
            <w:pPr>
              <w:ind w:left="0"/>
              <w:jc w:val="center"/>
            </w:pPr>
            <w:r w:rsidRPr="0031391F">
              <w:t>7</w:t>
            </w:r>
          </w:p>
        </w:tc>
        <w:tc>
          <w:tcPr>
            <w:tcW w:w="6869" w:type="dxa"/>
          </w:tcPr>
          <w:p w14:paraId="65384F3B" w14:textId="241CFCF0" w:rsidR="003C4AF1" w:rsidRPr="0031391F" w:rsidRDefault="003C4AF1" w:rsidP="00200036">
            <w:pPr>
              <w:ind w:left="0"/>
            </w:pPr>
            <w:r w:rsidRPr="0031391F">
              <w:t xml:space="preserve">Dacă solicitantul și întreprinderile cu care acesta formează o întreprindere unică, în sensul Regulamentului (UE) nr. 1407/2013 al Comisiei din 18 decembrie 2013 privind aplicarea articolelor 107 și 108 din Tratatul privind funcționarea Uniunii Europene ajutoarelor de minimis, au beneficiat de </w:t>
            </w:r>
            <w:r w:rsidRPr="0031391F">
              <w:lastRenderedPageBreak/>
              <w:t xml:space="preserve">ajutoare de stat (inclusiv ajutoare de minimis) în ultimii 3 ani fiscali înainte de data depunerii cererii de finanţare şi în anul curent depunerii cererii de finanţare, acestea sunt detaliate corespunzător în </w:t>
            </w:r>
            <w:r w:rsidRPr="0031391F">
              <w:rPr>
                <w:i/>
              </w:rPr>
              <w:t>secțiunea Finanțări/Asistență acordată anterior</w:t>
            </w:r>
            <w:r w:rsidRPr="0031391F">
              <w:t xml:space="preserve"> din Cererea de finanțare</w:t>
            </w:r>
          </w:p>
        </w:tc>
        <w:tc>
          <w:tcPr>
            <w:tcW w:w="1179" w:type="dxa"/>
          </w:tcPr>
          <w:p w14:paraId="3C446BEA" w14:textId="77777777" w:rsidR="003C4AF1" w:rsidRPr="0031391F" w:rsidRDefault="003C4AF1" w:rsidP="00200036">
            <w:pPr>
              <w:ind w:left="0"/>
            </w:pPr>
          </w:p>
        </w:tc>
        <w:tc>
          <w:tcPr>
            <w:tcW w:w="5276" w:type="dxa"/>
          </w:tcPr>
          <w:p w14:paraId="6D88FF10" w14:textId="77777777" w:rsidR="003C4AF1" w:rsidRPr="0031391F" w:rsidRDefault="003C4AF1" w:rsidP="00200036">
            <w:pPr>
              <w:ind w:left="0"/>
            </w:pPr>
          </w:p>
        </w:tc>
      </w:tr>
      <w:tr w:rsidR="00BD6A85" w:rsidRPr="0031391F" w14:paraId="19731879" w14:textId="77777777" w:rsidTr="0090527E">
        <w:tc>
          <w:tcPr>
            <w:tcW w:w="693" w:type="dxa"/>
          </w:tcPr>
          <w:p w14:paraId="0968BD75" w14:textId="1EE23210" w:rsidR="00BD6A85" w:rsidRPr="0031391F" w:rsidRDefault="0090527E" w:rsidP="00200036">
            <w:pPr>
              <w:ind w:left="0"/>
              <w:jc w:val="center"/>
            </w:pPr>
            <w:r w:rsidRPr="0031391F">
              <w:t>8</w:t>
            </w:r>
          </w:p>
        </w:tc>
        <w:tc>
          <w:tcPr>
            <w:tcW w:w="6869" w:type="dxa"/>
          </w:tcPr>
          <w:p w14:paraId="1238DE3E" w14:textId="319C4E17" w:rsidR="00BD6A85" w:rsidRPr="0031391F" w:rsidRDefault="00BD6A85" w:rsidP="00200036">
            <w:pPr>
              <w:ind w:left="0"/>
            </w:pPr>
            <w:r w:rsidRPr="0031391F">
              <w:t xml:space="preserve">Solicitantul a înregistrat un număr mediu de salariați de cel puțin </w:t>
            </w:r>
            <w:r w:rsidR="00D846C0">
              <w:t>1</w:t>
            </w:r>
            <w:r w:rsidRPr="0031391F">
              <w:t>, în anul fiscal anterior depunerii cererii de finanțare</w:t>
            </w:r>
          </w:p>
        </w:tc>
        <w:tc>
          <w:tcPr>
            <w:tcW w:w="1179" w:type="dxa"/>
          </w:tcPr>
          <w:p w14:paraId="2AB299FF" w14:textId="77777777" w:rsidR="00BD6A85" w:rsidRPr="0031391F" w:rsidRDefault="00BD6A85" w:rsidP="00200036">
            <w:pPr>
              <w:ind w:left="0"/>
            </w:pPr>
          </w:p>
        </w:tc>
        <w:tc>
          <w:tcPr>
            <w:tcW w:w="5276" w:type="dxa"/>
          </w:tcPr>
          <w:p w14:paraId="20CAA6F0" w14:textId="636C8E4E" w:rsidR="00BD6A85" w:rsidRPr="0031391F" w:rsidRDefault="00AC1460" w:rsidP="00AC1460">
            <w:pPr>
              <w:ind w:left="0"/>
            </w:pPr>
            <w:r w:rsidRPr="0031391F">
              <w:t xml:space="preserve">Condiția referitoare la păstrarea numărului mediu de salariați cel puțin la nivelul înregistrat în exercițiul financiar anterior depunerii cererii de finanțare este considerată respectată, în cadrul etapei de contractare, prin verificarea numărului mediu anual de salariați înregistrat în exercițiul/ exercițiile financiar(e) încheiat(e), aferent(e) procesului de evaluare, selecție și contractare, în cazul în care a fost încheiat un exercițiu financiar în perioadă procesului menționat. Dacă în anul fiscal care se încheie pe parcursul procesului de evaluare, selecție și contractare numărul mediu de salariați de minim </w:t>
            </w:r>
            <w:r w:rsidR="00D846C0">
              <w:t>1</w:t>
            </w:r>
            <w:r w:rsidRPr="0031391F">
              <w:t xml:space="preserve"> nu este menținut, proiectul se respinge de la fi</w:t>
            </w:r>
            <w:r w:rsidR="00A35DAE" w:rsidRPr="0031391F">
              <w:t>nanțare</w:t>
            </w:r>
          </w:p>
        </w:tc>
      </w:tr>
      <w:tr w:rsidR="00A35DAE" w:rsidRPr="0031391F" w14:paraId="11B63012" w14:textId="77777777" w:rsidTr="0090527E">
        <w:tc>
          <w:tcPr>
            <w:tcW w:w="693" w:type="dxa"/>
          </w:tcPr>
          <w:p w14:paraId="0890409D" w14:textId="0D0EA2E7" w:rsidR="00A35DAE" w:rsidRPr="0031391F" w:rsidRDefault="0090527E" w:rsidP="00200036">
            <w:pPr>
              <w:ind w:left="0"/>
              <w:jc w:val="center"/>
            </w:pPr>
            <w:r w:rsidRPr="0031391F">
              <w:t>9</w:t>
            </w:r>
          </w:p>
        </w:tc>
        <w:tc>
          <w:tcPr>
            <w:tcW w:w="6869" w:type="dxa"/>
          </w:tcPr>
          <w:p w14:paraId="210B7D6F" w14:textId="38532900" w:rsidR="00A35DAE" w:rsidRPr="0031391F" w:rsidRDefault="00A35DAE" w:rsidP="00200036">
            <w:pPr>
              <w:ind w:left="0"/>
            </w:pPr>
            <w:r w:rsidRPr="0031391F">
              <w:t>Solicitantul se angajează și demonstrează că poate să suporte din surse proprii, care nu fac obiectul nici unui alt ajutor de stat/minimis, cofinanțarea prevăzută în condițiile prevăzute de prezentul ghid atât pentru cheltuielile eligibile, ne-eligibile, costurile suplimentare ce pot fi generate de proiect pe parcursul implementării, costurile de întreținere, operare și mentenanță a investiției pe toată durata de durabilitate a  proiectului</w:t>
            </w:r>
          </w:p>
        </w:tc>
        <w:tc>
          <w:tcPr>
            <w:tcW w:w="1179" w:type="dxa"/>
          </w:tcPr>
          <w:p w14:paraId="50D7E038" w14:textId="77777777" w:rsidR="00A35DAE" w:rsidRPr="0031391F" w:rsidRDefault="00A35DAE" w:rsidP="00200036">
            <w:pPr>
              <w:ind w:left="0"/>
            </w:pPr>
          </w:p>
        </w:tc>
        <w:tc>
          <w:tcPr>
            <w:tcW w:w="5276" w:type="dxa"/>
          </w:tcPr>
          <w:p w14:paraId="64823F6E" w14:textId="77777777" w:rsidR="00A35DAE" w:rsidRPr="0031391F" w:rsidRDefault="00A35DAE" w:rsidP="00A35DAE">
            <w:pPr>
              <w:ind w:left="0"/>
            </w:pPr>
            <w:r w:rsidRPr="0031391F">
              <w:t>În etapa de contractare, solicitantul va prezenta:</w:t>
            </w:r>
          </w:p>
          <w:p w14:paraId="73C85D96" w14:textId="77777777" w:rsidR="00A35DAE" w:rsidRPr="0031391F" w:rsidRDefault="00A35DAE" w:rsidP="00A35DAE">
            <w:pPr>
              <w:ind w:left="0"/>
            </w:pPr>
            <w:r w:rsidRPr="0031391F">
              <w:t>•</w:t>
            </w:r>
            <w:r w:rsidRPr="0031391F">
              <w:tab/>
              <w:t>scrisoare de confort angajantă și/sau alte documente prin care să se facă dovada posibilității solicitantului de a asigura cofinanțarea cheltuielilor eligibile/neeligibile/TVA, după caz, în cadrul proiectului (pentru proiectele care vor fi selectate in urma evaluării AM PTJ/OIPTJ această scrisoare va fi reconfirmată si prelungită, dacă este cazul</w:t>
            </w:r>
          </w:p>
          <w:p w14:paraId="68BB42A5" w14:textId="67B4C58A" w:rsidR="00A35DAE" w:rsidRPr="0031391F" w:rsidRDefault="00A35DAE" w:rsidP="00A35DAE">
            <w:pPr>
              <w:ind w:left="0"/>
            </w:pPr>
            <w:r w:rsidRPr="0031391F">
              <w:t>•</w:t>
            </w:r>
            <w:r w:rsidRPr="0031391F">
              <w:tab/>
              <w:t>solicitantul  trebuie să facă dovada că nu are obligații de plată nete neachitate în termen, către bugetul consolidat al statului și respectiv bugetul local și nu are fapte înscrise în cazierul fiscal pentru toate punctele sale de lucru situate pe raza unor unități administrativ teritoriale diferite.</w:t>
            </w:r>
          </w:p>
          <w:p w14:paraId="72F89738" w14:textId="77777777" w:rsidR="00A35DAE" w:rsidRPr="0031391F" w:rsidRDefault="00A35DAE" w:rsidP="00A35DAE">
            <w:pPr>
              <w:ind w:left="0"/>
            </w:pPr>
            <w:r w:rsidRPr="0031391F">
              <w:lastRenderedPageBreak/>
              <w:t>De asemenea, solicitantul trebuie să dispună de resursele necesare asigurării cheltuielilor neprevăzute ale proiectului, precum și de resursele și mecanismele financiare necesare pentru a acoperi costurile de funcționare și întreținere aferente investițiilor finanțate, în vederea asigurării sustenabilității financiare a acestora.</w:t>
            </w:r>
          </w:p>
          <w:p w14:paraId="04C19678" w14:textId="45CE3308" w:rsidR="00A35DAE" w:rsidRPr="0031391F" w:rsidRDefault="00A35DAE" w:rsidP="00A35DAE">
            <w:pPr>
              <w:ind w:left="0"/>
            </w:pPr>
            <w:r w:rsidRPr="0031391F">
              <w:t>Sustenabilitatea financiară a investiției trebuie să reiasă inclusiv din Macheta anexă la Planul de afaceri – calculul fluxului de numerar net cumulat.</w:t>
            </w:r>
          </w:p>
        </w:tc>
      </w:tr>
      <w:tr w:rsidR="00A62344" w:rsidRPr="0031391F" w14:paraId="1AF83D8F" w14:textId="77777777" w:rsidTr="0090527E">
        <w:tc>
          <w:tcPr>
            <w:tcW w:w="693" w:type="dxa"/>
          </w:tcPr>
          <w:p w14:paraId="55CBEB1E" w14:textId="4186B1BF" w:rsidR="00A62344" w:rsidRPr="0031391F" w:rsidRDefault="0090527E" w:rsidP="00200036">
            <w:pPr>
              <w:ind w:left="0"/>
              <w:jc w:val="center"/>
            </w:pPr>
            <w:r w:rsidRPr="0031391F">
              <w:lastRenderedPageBreak/>
              <w:t>10</w:t>
            </w:r>
          </w:p>
        </w:tc>
        <w:tc>
          <w:tcPr>
            <w:tcW w:w="6869" w:type="dxa"/>
          </w:tcPr>
          <w:p w14:paraId="751CD4EC" w14:textId="1FAEEB70" w:rsidR="00A62344" w:rsidRPr="0031391F" w:rsidRDefault="00A62344" w:rsidP="00A62344">
            <w:pPr>
              <w:ind w:left="0"/>
            </w:pPr>
            <w:r w:rsidRPr="0031391F">
              <w:t>Solicitantul şi/sau reprezentantul său legal, după caz, nu se încadrează în niciuna din situaţiile de excludere în conformitate cu Declarația unică conform Anexei 14.6.1 la Ghid</w:t>
            </w:r>
            <w:r w:rsidR="0090527E" w:rsidRPr="0031391F">
              <w:t xml:space="preserve"> (pct. A8)</w:t>
            </w:r>
          </w:p>
          <w:p w14:paraId="0B07BEDC" w14:textId="6B09E180" w:rsidR="008C68AE" w:rsidRPr="0031391F" w:rsidRDefault="008C68AE" w:rsidP="00A62344">
            <w:pPr>
              <w:ind w:left="0"/>
            </w:pPr>
          </w:p>
        </w:tc>
        <w:tc>
          <w:tcPr>
            <w:tcW w:w="1179" w:type="dxa"/>
          </w:tcPr>
          <w:p w14:paraId="4331B30C" w14:textId="77777777" w:rsidR="00A62344" w:rsidRPr="0031391F" w:rsidRDefault="00A62344" w:rsidP="00200036">
            <w:pPr>
              <w:ind w:left="0"/>
            </w:pPr>
          </w:p>
        </w:tc>
        <w:tc>
          <w:tcPr>
            <w:tcW w:w="5276" w:type="dxa"/>
          </w:tcPr>
          <w:p w14:paraId="64AEA4E1" w14:textId="2F9A1624" w:rsidR="00A62344" w:rsidRPr="0031391F" w:rsidRDefault="008C68AE" w:rsidP="008C68AE">
            <w:pPr>
              <w:ind w:left="0"/>
            </w:pPr>
            <w:r w:rsidRPr="0031391F">
              <w:t>Pe lângă situațiile de excludere în cadrul Anexei 14.6.1</w:t>
            </w:r>
            <w:r w:rsidR="0090527E" w:rsidRPr="0031391F">
              <w:t xml:space="preserve"> pct. A8</w:t>
            </w:r>
            <w:r w:rsidRPr="0031391F">
              <w:t xml:space="preserve"> la Ghid se regăsesc și situații de angajament pentru care declarația respectivă și transmiterea cererii de finanțare în MYSMIS reprezintă angajamentul ferm al solicitantul pe întregul proces de evaluare, selecție, contractare, implementare, durabilitate. Orice acțiune a solicitantului care poate fi interpretată în sensul unui act de administrare/dispoziție care ar putea contraveni celor angajate prin declarația unică poate conduce la respingerea proiectului de la finanțare/rezilierea contractului de finanțare, după caz.</w:t>
            </w:r>
          </w:p>
        </w:tc>
      </w:tr>
      <w:tr w:rsidR="003C4AF1" w:rsidRPr="0031391F" w14:paraId="150273D4" w14:textId="3BADF409" w:rsidTr="0090527E">
        <w:tc>
          <w:tcPr>
            <w:tcW w:w="693" w:type="dxa"/>
          </w:tcPr>
          <w:p w14:paraId="28A2DA45" w14:textId="6DF42F01" w:rsidR="003C4AF1" w:rsidRPr="0031391F" w:rsidRDefault="0090527E" w:rsidP="00200036">
            <w:pPr>
              <w:ind w:left="0"/>
              <w:jc w:val="center"/>
            </w:pPr>
            <w:r w:rsidRPr="0031391F">
              <w:t>11</w:t>
            </w:r>
          </w:p>
        </w:tc>
        <w:tc>
          <w:tcPr>
            <w:tcW w:w="6869" w:type="dxa"/>
          </w:tcPr>
          <w:p w14:paraId="0A9C42D7" w14:textId="281B4884" w:rsidR="003C4AF1" w:rsidRPr="0031391F" w:rsidRDefault="008C68AE" w:rsidP="00A62344">
            <w:pPr>
              <w:ind w:left="0"/>
            </w:pPr>
            <w:r w:rsidRPr="0031391F">
              <w:t>Demonstrarea drepturilor reale principale asupra imobilului, obiect al proiectului identificat ca locul de implementare a proiectului, necesare pentru obținerea autorizației de construire pentru construcții definitive/provizorii, după caz, în conformitate cu prevederile Legii 50/1991, republicată privind autorizarea lucrărilor de construire</w:t>
            </w:r>
          </w:p>
        </w:tc>
        <w:tc>
          <w:tcPr>
            <w:tcW w:w="1179" w:type="dxa"/>
          </w:tcPr>
          <w:p w14:paraId="27BCE74E" w14:textId="77777777" w:rsidR="003C4AF1" w:rsidRPr="0031391F" w:rsidRDefault="003C4AF1" w:rsidP="00200036">
            <w:pPr>
              <w:ind w:left="0"/>
            </w:pPr>
          </w:p>
        </w:tc>
        <w:tc>
          <w:tcPr>
            <w:tcW w:w="5276" w:type="dxa"/>
          </w:tcPr>
          <w:p w14:paraId="6C98A1B8" w14:textId="7F435CBC" w:rsidR="008C68AE" w:rsidRPr="0031391F" w:rsidRDefault="008C68AE" w:rsidP="008C68AE">
            <w:pPr>
              <w:ind w:left="0"/>
            </w:pPr>
            <w:r w:rsidRPr="0031391F">
              <w:t>Documentele de proprietate, respectiv documentele care dovedesc drepturile reale principale, după caz, asupra bunurilor imobile sunt depuse de către solicitant, în condițiile prevăzute la secțiunea 7.6 a Ghidului, nu mai târziu de data semnării contractului de finanțare.</w:t>
            </w:r>
          </w:p>
          <w:p w14:paraId="3681057B" w14:textId="77777777" w:rsidR="008C68AE" w:rsidRPr="0031391F" w:rsidRDefault="008C68AE" w:rsidP="008C68AE">
            <w:pPr>
              <w:ind w:left="0"/>
            </w:pPr>
            <w:r w:rsidRPr="0031391F">
              <w:t xml:space="preserve">Dreptul de proprietate, respectiv drepturile reale principale, după caz, nu pot fi grevate de sarcini, nu pot face obiectul unor garanții, cesionări și nici al unei alte forme de sarcini care ar putea afecta dreptul de proprietate, respectiv dreptul real principal, după caz, al solicitantului pe perioada de implementare și/sau pe </w:t>
            </w:r>
            <w:r w:rsidRPr="0031391F">
              <w:lastRenderedPageBreak/>
              <w:t>perioada în care este asigurat, respectiv caracterul durabil, reglementat la art. 65 din Regulamentul (UE) 2021/1.060, cu modificările și completările ulterioare, al proiectului care face obiectul contractului de finanțare.</w:t>
            </w:r>
          </w:p>
          <w:p w14:paraId="62346F74" w14:textId="6BE1F86A" w:rsidR="008C68AE" w:rsidRPr="0031391F" w:rsidRDefault="008C68AE" w:rsidP="008C68AE">
            <w:pPr>
              <w:ind w:left="0"/>
            </w:pPr>
            <w:r w:rsidRPr="0031391F">
              <w:t xml:space="preserve">Atragem atenția că OUG 23/2023 nu distinge între proiectele pentru care este/nu este necesară obținerea autorizației de construire în ceea ce privește ca drepturile reale principale asociate imobilului să nu fie grevate de sarcini. </w:t>
            </w:r>
          </w:p>
          <w:p w14:paraId="10A49307" w14:textId="77777777" w:rsidR="008C68AE" w:rsidRPr="0031391F" w:rsidRDefault="008C68AE" w:rsidP="008C68AE">
            <w:pPr>
              <w:ind w:left="0"/>
            </w:pPr>
            <w:r w:rsidRPr="0031391F">
              <w:t>Garanțiile reale asupra imobilelor (e.g. ipoteca) sunt, în accepțiunea prezentului ghid, incompatibile cu realizarea proiectelor de investiții în cadrul PTJ. Ulterior contractării proiectului, este permisă ipotecarea obiectelor/bunurilor aferente proiectului, fie ele mobile sau imobile, în condițiile stricte ale prevederilor contractuale, cu respectarea legislației în vigoare.</w:t>
            </w:r>
          </w:p>
          <w:p w14:paraId="3BB7750B" w14:textId="35F86179" w:rsidR="008C68AE" w:rsidRPr="0031391F" w:rsidRDefault="008C68AE" w:rsidP="008C68AE">
            <w:pPr>
              <w:ind w:left="0"/>
            </w:pPr>
            <w:r w:rsidRPr="0031391F">
              <w:t xml:space="preserve">Nu vor conduce la respingerea cererii de finanțare acele limite ale dreptului de proprietate care nu sunt incompatibile cu realizarea activităților proiectului (spre ex. servituți legale, servitutea de trecere cu piciorul etc). </w:t>
            </w:r>
          </w:p>
          <w:p w14:paraId="3701748B" w14:textId="0C23DC3D" w:rsidR="008C68AE" w:rsidRPr="0031391F" w:rsidRDefault="008C68AE" w:rsidP="008C68AE">
            <w:pPr>
              <w:ind w:left="0"/>
            </w:pPr>
            <w:r w:rsidRPr="0031391F">
              <w:t>În conformitate cu prevederile Codului Civil, art 551 drepturile reale principale sunt:</w:t>
            </w:r>
          </w:p>
          <w:p w14:paraId="4DE0C453" w14:textId="77777777" w:rsidR="008C68AE" w:rsidRPr="0031391F" w:rsidRDefault="008C68AE" w:rsidP="008C68AE">
            <w:pPr>
              <w:ind w:left="0"/>
            </w:pPr>
            <w:r w:rsidRPr="0031391F">
              <w:t xml:space="preserve">1. dreptul de proprietate; </w:t>
            </w:r>
          </w:p>
          <w:p w14:paraId="42D87719" w14:textId="77777777" w:rsidR="008C68AE" w:rsidRPr="0031391F" w:rsidRDefault="008C68AE" w:rsidP="008C68AE">
            <w:pPr>
              <w:ind w:left="0"/>
            </w:pPr>
            <w:r w:rsidRPr="0031391F">
              <w:t>2. dreptul de superficie;</w:t>
            </w:r>
          </w:p>
          <w:p w14:paraId="055DD6D9" w14:textId="77777777" w:rsidR="008C68AE" w:rsidRPr="0031391F" w:rsidRDefault="008C68AE" w:rsidP="008C68AE">
            <w:pPr>
              <w:ind w:left="0"/>
            </w:pPr>
            <w:r w:rsidRPr="0031391F">
              <w:t>3. dreptul de uzufruct;</w:t>
            </w:r>
          </w:p>
          <w:p w14:paraId="7C07F15C" w14:textId="77777777" w:rsidR="008C68AE" w:rsidRPr="0031391F" w:rsidRDefault="008C68AE" w:rsidP="008C68AE">
            <w:pPr>
              <w:ind w:left="0"/>
            </w:pPr>
            <w:r w:rsidRPr="0031391F">
              <w:t>4. dreptul de uz;</w:t>
            </w:r>
          </w:p>
          <w:p w14:paraId="57C34EE8" w14:textId="77777777" w:rsidR="008C68AE" w:rsidRPr="0031391F" w:rsidRDefault="008C68AE" w:rsidP="008C68AE">
            <w:pPr>
              <w:ind w:left="0"/>
            </w:pPr>
            <w:r w:rsidRPr="0031391F">
              <w:t>5. dreptul de abitaţie;</w:t>
            </w:r>
          </w:p>
          <w:p w14:paraId="7AB6F71D" w14:textId="77777777" w:rsidR="008C68AE" w:rsidRPr="0031391F" w:rsidRDefault="008C68AE" w:rsidP="008C68AE">
            <w:pPr>
              <w:ind w:left="0"/>
            </w:pPr>
            <w:r w:rsidRPr="0031391F">
              <w:t>6. dreptul de servitute;</w:t>
            </w:r>
          </w:p>
          <w:p w14:paraId="583315C2" w14:textId="77777777" w:rsidR="008C68AE" w:rsidRPr="0031391F" w:rsidRDefault="008C68AE" w:rsidP="008C68AE">
            <w:pPr>
              <w:ind w:left="0"/>
            </w:pPr>
            <w:r w:rsidRPr="0031391F">
              <w:t xml:space="preserve">7. dreptul de administrare; </w:t>
            </w:r>
          </w:p>
          <w:p w14:paraId="3AD6A7FE" w14:textId="77777777" w:rsidR="008C68AE" w:rsidRPr="0031391F" w:rsidRDefault="008C68AE" w:rsidP="008C68AE">
            <w:pPr>
              <w:ind w:left="0"/>
            </w:pPr>
            <w:r w:rsidRPr="0031391F">
              <w:lastRenderedPageBreak/>
              <w:t>8. dreptul de concesiune;</w:t>
            </w:r>
          </w:p>
          <w:p w14:paraId="57F7800E" w14:textId="77777777" w:rsidR="008C68AE" w:rsidRPr="0031391F" w:rsidRDefault="008C68AE" w:rsidP="008C68AE">
            <w:pPr>
              <w:ind w:left="0"/>
            </w:pPr>
            <w:r w:rsidRPr="0031391F">
              <w:t>9. dreptul de folosinţă;</w:t>
            </w:r>
          </w:p>
          <w:p w14:paraId="4CF88F8C" w14:textId="77777777" w:rsidR="008C68AE" w:rsidRPr="0031391F" w:rsidRDefault="008C68AE" w:rsidP="008C68AE">
            <w:pPr>
              <w:ind w:left="0"/>
            </w:pPr>
            <w:r w:rsidRPr="0031391F">
              <w:t>10. drepturile reale de garanţie;</w:t>
            </w:r>
          </w:p>
          <w:p w14:paraId="76A7CE5D" w14:textId="77777777" w:rsidR="008C68AE" w:rsidRPr="0031391F" w:rsidRDefault="008C68AE" w:rsidP="008C68AE">
            <w:pPr>
              <w:ind w:left="0"/>
            </w:pPr>
            <w:r w:rsidRPr="0031391F">
              <w:t>11. alte drepturi cărora legea le recunoaşte acest caracter.</w:t>
            </w:r>
          </w:p>
          <w:p w14:paraId="5D8BBC03" w14:textId="77777777" w:rsidR="008C68AE" w:rsidRPr="0031391F" w:rsidRDefault="008C68AE" w:rsidP="008C68AE">
            <w:pPr>
              <w:ind w:left="0"/>
            </w:pPr>
            <w:r w:rsidRPr="0031391F">
              <w:t>Aceste aspecte trebuie coroborate cu prevederile Legii 50/1991, republicată privind autorizarea lucrărilor de construire pentru posibilitatea de a obține autorizația de construire pentru obiectivele de investiție a proiectelor, acolo unde este cazul.</w:t>
            </w:r>
          </w:p>
          <w:p w14:paraId="1B77D46A" w14:textId="4ADADC98" w:rsidR="003C4AF1" w:rsidRPr="0031391F" w:rsidRDefault="008C68AE" w:rsidP="008C68AE">
            <w:pPr>
              <w:ind w:left="0"/>
            </w:pPr>
            <w:r w:rsidRPr="0031391F">
              <w:t>În plus, imobilul (teren și/sau clădiri) nu face obiectul unor litigii având ca obiect dreptul invocat de către solicitant pentru realizarea proiectului, aflate în curs de soluţionare la instanţele judecătoreşti; nu face obiectul revendicărilor potrivit unor legi speciale în materie sau dreptului comun.</w:t>
            </w:r>
          </w:p>
        </w:tc>
      </w:tr>
      <w:tr w:rsidR="008C68AE" w:rsidRPr="0031391F" w14:paraId="5C46CB3A" w14:textId="77777777" w:rsidTr="0090527E">
        <w:tc>
          <w:tcPr>
            <w:tcW w:w="693" w:type="dxa"/>
          </w:tcPr>
          <w:p w14:paraId="424A7A84" w14:textId="7E5F3B20" w:rsidR="008C68AE" w:rsidRPr="0031391F" w:rsidRDefault="008C68AE" w:rsidP="00200036">
            <w:pPr>
              <w:ind w:left="0"/>
              <w:jc w:val="center"/>
              <w:rPr>
                <w:b/>
              </w:rPr>
            </w:pPr>
            <w:r w:rsidRPr="0031391F">
              <w:rPr>
                <w:b/>
              </w:rPr>
              <w:lastRenderedPageBreak/>
              <w:t>B.2</w:t>
            </w:r>
          </w:p>
        </w:tc>
        <w:tc>
          <w:tcPr>
            <w:tcW w:w="13324" w:type="dxa"/>
            <w:gridSpan w:val="3"/>
          </w:tcPr>
          <w:p w14:paraId="587359BF" w14:textId="750CD81C" w:rsidR="008C68AE" w:rsidRPr="0031391F" w:rsidRDefault="003D6212" w:rsidP="00200036">
            <w:pPr>
              <w:ind w:left="0"/>
              <w:rPr>
                <w:b/>
              </w:rPr>
            </w:pPr>
            <w:r w:rsidRPr="0031391F">
              <w:rPr>
                <w:b/>
              </w:rPr>
              <w:t>Eligibilitatea proiectului</w:t>
            </w:r>
          </w:p>
        </w:tc>
      </w:tr>
      <w:tr w:rsidR="003C4AF1" w:rsidRPr="0031391F" w14:paraId="3AE0F868" w14:textId="5F1CA37F" w:rsidTr="0090527E">
        <w:tc>
          <w:tcPr>
            <w:tcW w:w="693" w:type="dxa"/>
          </w:tcPr>
          <w:p w14:paraId="2D2068B5" w14:textId="605400E8" w:rsidR="003C4AF1" w:rsidRPr="0031391F" w:rsidRDefault="003D6212" w:rsidP="00200036">
            <w:pPr>
              <w:ind w:left="0"/>
              <w:jc w:val="center"/>
            </w:pPr>
            <w:r w:rsidRPr="0031391F">
              <w:t>1</w:t>
            </w:r>
          </w:p>
        </w:tc>
        <w:tc>
          <w:tcPr>
            <w:tcW w:w="6869" w:type="dxa"/>
          </w:tcPr>
          <w:p w14:paraId="62B9356A" w14:textId="77777777" w:rsidR="003C4AF1" w:rsidRPr="0031391F" w:rsidRDefault="003D6212" w:rsidP="003D6212">
            <w:pPr>
              <w:ind w:left="0"/>
            </w:pPr>
            <w:r w:rsidRPr="0031391F">
              <w:t>Încadrarea investiției în obiectivul programului, a priorității și acțiunii pentru care se lansează apelurile de proiecte prevăzute de Ghid</w:t>
            </w:r>
          </w:p>
          <w:p w14:paraId="5D3606FF" w14:textId="5D0F581E" w:rsidR="003D6212" w:rsidRPr="0031391F" w:rsidRDefault="003D6212" w:rsidP="003D6212">
            <w:pPr>
              <w:ind w:left="0"/>
            </w:pPr>
            <w:r w:rsidRPr="0031391F">
              <w:t>a)</w:t>
            </w:r>
            <w:r w:rsidRPr="0031391F">
              <w:tab/>
              <w:t>Investițiile propuse trebuie să fie investiții inițiale, în conformitate cu prevederile Regulamentului (UE) nr. 651/2014 de declarare a anumitor categorii de ajutoare compatibile cu piața internă în aplicarea articolelor 107 și 108 din tratat, cu modificările și completările ulterioare, să fie o investiție în active corporale și necorporale legată de una sau mai multe din următoarele activități:</w:t>
            </w:r>
          </w:p>
          <w:p w14:paraId="7CB74D75" w14:textId="77777777" w:rsidR="003D6212" w:rsidRPr="0031391F" w:rsidRDefault="003D6212" w:rsidP="003D6212">
            <w:pPr>
              <w:ind w:left="0"/>
            </w:pPr>
            <w:r w:rsidRPr="0031391F">
              <w:t>-</w:t>
            </w:r>
            <w:r w:rsidRPr="0031391F">
              <w:tab/>
              <w:t>crearea unei unități noi</w:t>
            </w:r>
          </w:p>
          <w:p w14:paraId="1F238621" w14:textId="77777777" w:rsidR="003D6212" w:rsidRPr="0031391F" w:rsidRDefault="003D6212" w:rsidP="003D6212">
            <w:pPr>
              <w:ind w:left="0"/>
            </w:pPr>
            <w:r w:rsidRPr="0031391F">
              <w:t>-</w:t>
            </w:r>
            <w:r w:rsidRPr="0031391F">
              <w:tab/>
              <w:t>extinderea capacității unei unități existente</w:t>
            </w:r>
          </w:p>
          <w:p w14:paraId="30DD66F2" w14:textId="77777777" w:rsidR="003D6212" w:rsidRPr="0031391F" w:rsidRDefault="003D6212" w:rsidP="003D6212">
            <w:pPr>
              <w:ind w:left="0"/>
            </w:pPr>
            <w:r w:rsidRPr="0031391F">
              <w:lastRenderedPageBreak/>
              <w:t>-</w:t>
            </w:r>
            <w:r w:rsidRPr="0031391F">
              <w:tab/>
              <w:t>diversificarea producției unei unități prin produse/servicii care nu au fost fabricate/prestate anterior în unitate</w:t>
            </w:r>
          </w:p>
          <w:p w14:paraId="38C32C47" w14:textId="77777777" w:rsidR="003D6212" w:rsidRPr="0031391F" w:rsidRDefault="003D6212" w:rsidP="003D6212">
            <w:pPr>
              <w:ind w:left="0"/>
            </w:pPr>
            <w:r w:rsidRPr="0031391F">
              <w:t>-</w:t>
            </w:r>
            <w:r w:rsidRPr="0031391F">
              <w:tab/>
              <w:t xml:space="preserve">o schimbare fundamentală a procesului general de producție a produsului (produselor) sau a prestării generale a serviciului (serviciilor) vizat(e) de investiția în unitate, în sensul prezentului ghid, cu scopul reconversiei economice pentru o economie verde; </w:t>
            </w:r>
          </w:p>
          <w:p w14:paraId="4F5DC4E4" w14:textId="209D18AC" w:rsidR="003D6212" w:rsidRPr="0031391F" w:rsidRDefault="003D6212" w:rsidP="003D6212">
            <w:pPr>
              <w:ind w:left="0"/>
            </w:pPr>
            <w:r w:rsidRPr="0031391F">
              <w:t>b) Investițiile propuse trebuie să implice investiții productive și să demonstreze crearea de noi locuri de muncă durabile</w:t>
            </w:r>
          </w:p>
        </w:tc>
        <w:tc>
          <w:tcPr>
            <w:tcW w:w="1179" w:type="dxa"/>
          </w:tcPr>
          <w:p w14:paraId="5B573033" w14:textId="77777777" w:rsidR="003C4AF1" w:rsidRPr="0031391F" w:rsidRDefault="003C4AF1" w:rsidP="00200036">
            <w:pPr>
              <w:ind w:left="0"/>
            </w:pPr>
          </w:p>
        </w:tc>
        <w:tc>
          <w:tcPr>
            <w:tcW w:w="5276" w:type="dxa"/>
          </w:tcPr>
          <w:p w14:paraId="1994E09C" w14:textId="10B72166" w:rsidR="003D6212" w:rsidRPr="0031391F" w:rsidRDefault="003D6212" w:rsidP="003D6212">
            <w:pPr>
              <w:ind w:left="0"/>
            </w:pPr>
            <w:r w:rsidRPr="0031391F">
              <w:t>a) Pentru detalii legate de investiția inițială a se vedea Anexa 14.4 la Ghid.</w:t>
            </w:r>
          </w:p>
          <w:p w14:paraId="7F796F59" w14:textId="77777777" w:rsidR="003D6212" w:rsidRPr="0031391F" w:rsidRDefault="003D6212" w:rsidP="003D6212">
            <w:pPr>
              <w:ind w:left="0"/>
            </w:pPr>
            <w:r w:rsidRPr="0031391F">
              <w:t>Este eligibilă inclusiv reconversia unui imobil existent neutilizat și dotarea acestuia cu active corporale și necorporale, în scopul creării/ extinderii/ diversificării unei unități de producție/ prestare servicii. Prin ”imobil neutilizat” se înțelege acel imobil care nu a fost utilizat în nicio activitate, în anul curent depunerii cererii de finanțare și în ultimii doi ani calendaristici anteriori anului depunerii cererii de finanțare.</w:t>
            </w:r>
          </w:p>
          <w:p w14:paraId="70B1AFC0" w14:textId="77777777" w:rsidR="003D6212" w:rsidRPr="0031391F" w:rsidRDefault="003D6212" w:rsidP="003D6212">
            <w:pPr>
              <w:ind w:left="0"/>
            </w:pPr>
            <w:r w:rsidRPr="0031391F">
              <w:t xml:space="preserve">În contextul definirii investiției inițiale, ”unitate” are înțelesul de ”unitate de producție/prestare servicii”, nu de entitate juridică. Unitatea este orice loc fix, de afaceri </w:t>
            </w:r>
            <w:r w:rsidRPr="0031391F">
              <w:lastRenderedPageBreak/>
              <w:t xml:space="preserve">sau de investiție, care servește activității unei întreprinderi. Unitatea individuală trebuie să fie autonomă, să nu se bazeze pe resurse tehnice comune cu o unitate existentă și să nu fie doar o extindere simplă a capacității de producție a unei unități existente. O unitate ar trebui să fie separată spațial, organizațional și funcțional și să fie caracterizată printr-un grad ridicat de autonomie. </w:t>
            </w:r>
          </w:p>
          <w:p w14:paraId="6BB053DB" w14:textId="77777777" w:rsidR="003D6212" w:rsidRPr="0031391F" w:rsidRDefault="003D6212" w:rsidP="003D6212">
            <w:pPr>
              <w:ind w:left="0"/>
            </w:pPr>
            <w:r w:rsidRPr="0031391F">
              <w:t xml:space="preserve">Investiția inițială trebuie menținută în zona vizată de apel pe toată perioadă de implementare și durabilitate stipulată în contractul de finanțare, fiind permisă doar utilizarea ocazională în afara acestei zone (e.g utilizarea ocazională a echipamentelor mobile achiziționate prin proiect). </w:t>
            </w:r>
          </w:p>
          <w:p w14:paraId="668DE32E" w14:textId="77777777" w:rsidR="003D6212" w:rsidRPr="0031391F" w:rsidRDefault="003D6212" w:rsidP="003D6212">
            <w:pPr>
              <w:ind w:left="0"/>
            </w:pPr>
            <w:r w:rsidRPr="0031391F">
              <w:t>Orice investiție inițială demarată de același beneficiar (la nivel de grup) într-un interval de trei ani de la data de începere a lucrărilor la o altă investiție care beneficiază de ajutor în aceeași regiune de nivel 3 din Nomenclatorul comun al unităților teritoriale de statistică, este considerată ca făcând parte dintr-un proiect unic de investiții. În cazul în care un astfel de proiect unic de investiții este un proiect mare de investiții, valoarea totală a ajutoarelor pentru proiectul unic de investiții nu depășește valoarea ajutorului ajustat pentru proiecte mari de investiţii.</w:t>
            </w:r>
          </w:p>
          <w:p w14:paraId="6C5147D5" w14:textId="79B6A8A5" w:rsidR="003D6212" w:rsidRPr="0031391F" w:rsidRDefault="003D6212" w:rsidP="003D6212">
            <w:pPr>
              <w:ind w:left="0"/>
            </w:pPr>
            <w:r w:rsidRPr="0031391F">
              <w:t>Proiect mare de investiţii înseamnă o investiție inițială cu costuri eligibile care depășesc 50 de milioane EUR, calculată la tarifele și cursul de schimb de la data acordării ajutorului.</w:t>
            </w:r>
          </w:p>
          <w:p w14:paraId="1334AFE2" w14:textId="77777777" w:rsidR="007317E0" w:rsidRPr="0031391F" w:rsidRDefault="003D6212" w:rsidP="007317E0">
            <w:pPr>
              <w:ind w:left="0"/>
            </w:pPr>
            <w:r w:rsidRPr="0031391F">
              <w:t xml:space="preserve">b) </w:t>
            </w:r>
            <w:r w:rsidR="007317E0" w:rsidRPr="0031391F">
              <w:t xml:space="preserve">Investiția productivă este o investiție în capital fix sau bunuri imateriale pentru întreprinderi pentru producerea de bunuri, servicii și competențe, în </w:t>
            </w:r>
            <w:r w:rsidR="007317E0" w:rsidRPr="0031391F">
              <w:lastRenderedPageBreak/>
              <w:t>contextul PTJ, contribuind astfel la formarea de capital și îmbunătățirea ocupării.</w:t>
            </w:r>
          </w:p>
          <w:p w14:paraId="674C2F97" w14:textId="77777777" w:rsidR="007317E0" w:rsidRPr="0031391F" w:rsidRDefault="007317E0" w:rsidP="007317E0">
            <w:pPr>
              <w:ind w:left="0"/>
            </w:pPr>
            <w:r w:rsidRPr="0031391F">
              <w:t>În contextul PTJ, obiectivul specific al investiției productive trebuie să urmărească creșterea competitivității și productivității IMM-urilor, cu accent pe crearea locurilor de muncă de calitate, durabile, încadrarea persoanelor direct afectate de tranziție sau aparținând grupurilor vulnerabile (lucrători în economia informală, tineri, femei, reprezentanți ai minorităților etnice, persoane cu handicap) și îmbunătățirea ocupării.</w:t>
            </w:r>
          </w:p>
          <w:p w14:paraId="70CAA06D" w14:textId="77777777" w:rsidR="007317E0" w:rsidRPr="0031391F" w:rsidRDefault="007317E0" w:rsidP="007317E0">
            <w:pPr>
              <w:ind w:left="0"/>
            </w:pPr>
            <w:r w:rsidRPr="0031391F">
              <w:t xml:space="preserve">Proiectul trebuie să conducă la crearea de noi locuri de muncă, direct legate de investiția finanțată, ce trebuie menținute pe o perioadă de cel puțin 3 ani de la plata finală în cadrul proiectului sau in termenul prevăzut de ajutorul de stat, oricare intervine ultimul,  în zona vizată de apel. </w:t>
            </w:r>
          </w:p>
          <w:p w14:paraId="6F70C01E" w14:textId="549EB832" w:rsidR="003D6212" w:rsidRPr="0031391F" w:rsidRDefault="007317E0" w:rsidP="007317E0">
            <w:pPr>
              <w:ind w:left="0"/>
            </w:pPr>
            <w:r w:rsidRPr="0031391F">
              <w:t>În funcție de valoarea finanțării nerambursabile solicitate, numărul minim de locuri de muncă (exprimat ca echivalent normă întreagă, ENI) obligatoriu a fi realizat este prevăzut în Ghidul solicitantului.</w:t>
            </w:r>
          </w:p>
          <w:p w14:paraId="6EE9F01D" w14:textId="77777777" w:rsidR="007317E0" w:rsidRPr="0031391F" w:rsidRDefault="007317E0" w:rsidP="007317E0">
            <w:pPr>
              <w:ind w:left="0"/>
            </w:pPr>
            <w:r w:rsidRPr="0031391F">
              <w:t>Obligația privind numărul minim de locuri de muncă nou create se menține indiferent de eventuala scădere a grantului ulterior depunerii cererii de finanțare (inclusiv pe perioada de implementare a proiectului).</w:t>
            </w:r>
          </w:p>
          <w:p w14:paraId="1FAD7509" w14:textId="77777777" w:rsidR="007317E0" w:rsidRPr="0031391F" w:rsidRDefault="007317E0" w:rsidP="007317E0">
            <w:pPr>
              <w:ind w:left="0"/>
            </w:pPr>
            <w:r w:rsidRPr="0031391F">
              <w:t xml:space="preserve">În cadrul evaluării tehnice și financiare, se acordă punctaj pentru crearea de locuri de muncă suplimentare celor minim obligatorii. </w:t>
            </w:r>
          </w:p>
          <w:p w14:paraId="5C6F8E58" w14:textId="77777777" w:rsidR="007317E0" w:rsidRPr="0031391F" w:rsidRDefault="007317E0" w:rsidP="007317E0">
            <w:pPr>
              <w:ind w:left="0"/>
            </w:pPr>
            <w:r w:rsidRPr="0031391F">
              <w:t xml:space="preserve">Investiția trebuie să contribuie la realizarea unei tranziții juste prin crearea și menținerea de locuri de muncă sustenabile din punct de vedere al mediului, în special pentru persoanele afectate de procesul de tranziție la neutralitatea climatică la nivelul teritoriului, precum și </w:t>
            </w:r>
            <w:r w:rsidRPr="0031391F">
              <w:lastRenderedPageBreak/>
              <w:t>pentru cele care se încadrează în categoria lucrătorilor defavorizați, a celor extrem de defavorizați și a lucrătorilor cu handicap. Persoanele vizate pot fi direct afectate de procesul de tranziție prin pierderea locului de muncă sau pot fi indirect afectate de tranziție din cauza competențelor neadecvate sau insuficient adecvate cererii.</w:t>
            </w:r>
          </w:p>
          <w:p w14:paraId="3EB4A906" w14:textId="77777777" w:rsidR="007317E0" w:rsidRPr="0031391F" w:rsidRDefault="007317E0" w:rsidP="007317E0">
            <w:pPr>
              <w:ind w:left="0"/>
            </w:pPr>
            <w:r w:rsidRPr="0031391F">
              <w:t xml:space="preserve">În acest sens, beneficiarul finanțării va avea obligația de a consulta AJOFM în procesul de recrutare, în vederea angajării de persoane afectate de procesul de tranziție, pentru toate locurile de muncă create prin proiect, precum și angajarea de persoane din categoriile de lucrătorii defavorizați, extrem de defavorizați și a lucrătorilor cu handicap. </w:t>
            </w:r>
          </w:p>
          <w:p w14:paraId="68B939CB" w14:textId="6A77A4B5" w:rsidR="003C4AF1" w:rsidRPr="0031391F" w:rsidRDefault="007317E0" w:rsidP="007317E0">
            <w:pPr>
              <w:ind w:left="0"/>
            </w:pPr>
            <w:r w:rsidRPr="0031391F">
              <w:t>Beneficiarul va trebui să demonstreze întreaga procedură urmată în consultarea AJOFM în procesul de recrutare și faptul că au fost prioritizate la angajare peroanele afectate direct/indirect de procesul de tranziție. Cel puțin 75% din totalul de locuri de muncă create prin proiect, trebuie să vizeze persoane cu domiciliu/reședința în zona vizată de apel. În mod excepțional se acceptă și persoane ce nu au domiciliul în zona vizată dacă demonstrează că au fost direct afectate de procesele de tranziție desfășurate in zonele vizate de apel sau au fost afectate de procesul de reconversie economică în zona vizată de apel.</w:t>
            </w:r>
          </w:p>
        </w:tc>
      </w:tr>
      <w:tr w:rsidR="003C4AF1" w:rsidRPr="0031391F" w14:paraId="4350792E" w14:textId="24EB07D9" w:rsidTr="0090527E">
        <w:tc>
          <w:tcPr>
            <w:tcW w:w="693" w:type="dxa"/>
          </w:tcPr>
          <w:p w14:paraId="28631987" w14:textId="5021A146" w:rsidR="003C4AF1" w:rsidRPr="0031391F" w:rsidRDefault="0062052C" w:rsidP="0062052C">
            <w:pPr>
              <w:ind w:left="0"/>
              <w:jc w:val="center"/>
            </w:pPr>
            <w:r w:rsidRPr="0031391F">
              <w:lastRenderedPageBreak/>
              <w:t>2</w:t>
            </w:r>
          </w:p>
        </w:tc>
        <w:tc>
          <w:tcPr>
            <w:tcW w:w="6869" w:type="dxa"/>
          </w:tcPr>
          <w:p w14:paraId="64B17D4A" w14:textId="5DABC716" w:rsidR="003C4AF1" w:rsidRPr="0031391F" w:rsidRDefault="00CF1AB5" w:rsidP="008D0A59">
            <w:pPr>
              <w:ind w:left="0"/>
            </w:pPr>
            <w:r w:rsidRPr="0031391F">
              <w:t>Domeniul de activitate în care se realizează investiția - Investiția vizează unul din domeniile de activitate eligibile, așa cum sunt enumerate în Anexa 14.3 la Ghidul solicitantului</w:t>
            </w:r>
            <w:r w:rsidR="008D0A59" w:rsidRPr="0031391F">
              <w:t>,</w:t>
            </w:r>
            <w:r w:rsidR="00173186" w:rsidRPr="0031391F">
              <w:t xml:space="preserve"> nu favorizează domeniile excluse de prevederile regulamentului UE 1060/2021, a regulamentului UE 1056/2021 și a regulamentelor aplicabile în materia ajutorului de stat regional și </w:t>
            </w:r>
            <w:r w:rsidR="00173186" w:rsidRPr="0031391F">
              <w:lastRenderedPageBreak/>
              <w:t>respectiv de minimis, toate cu modificările și completările ulterioare, a analizei DNSH</w:t>
            </w:r>
            <w:r w:rsidR="008D0A59" w:rsidRPr="0031391F">
              <w:t>, și respectă următoarele cerințe:</w:t>
            </w:r>
          </w:p>
          <w:p w14:paraId="3EBAE342" w14:textId="122B724A" w:rsidR="008D0A59" w:rsidRPr="0031391F" w:rsidRDefault="008D0A59" w:rsidP="008D0A59">
            <w:pPr>
              <w:pStyle w:val="ListParagraph"/>
              <w:numPr>
                <w:ilvl w:val="0"/>
                <w:numId w:val="41"/>
              </w:numPr>
            </w:pPr>
            <w:r w:rsidRPr="0031391F">
              <w:t>nu se încadrează în situațiile de excludere conform art. 1 coroborat cu art. 13 din Regulamentul (UE) nr. 651/2014 al Comisiei Europene din 17 iunie 2014 de declarare a anumitor categorii de ajutoare compatibile cu piața internă în aplicarea articolelor 107 și 108 din tratat, cu modificările şi completările ulterioare;</w:t>
            </w:r>
          </w:p>
          <w:p w14:paraId="22AD2562" w14:textId="314F2DDC" w:rsidR="008D0A59" w:rsidRPr="0031391F" w:rsidRDefault="008D0A59" w:rsidP="008D0A59">
            <w:pPr>
              <w:pStyle w:val="ListParagraph"/>
              <w:numPr>
                <w:ilvl w:val="0"/>
                <w:numId w:val="41"/>
              </w:numPr>
            </w:pPr>
            <w:r w:rsidRPr="0031391F">
              <w:t>nu vizează domeniile de activitate și tipurile de activități prevăzute de dispozițiile art. 1 al Regulamentului (UE) nr. 1407/2013 privind aplicarea articolelor 107 și 108 din Tratatul privind funcționarea Uniunii Europene ajutoarelor de minimis, cu modificările şi completările ulterioare;</w:t>
            </w:r>
          </w:p>
          <w:p w14:paraId="677FE23D" w14:textId="69EE6027" w:rsidR="008D0A59" w:rsidRPr="0031391F" w:rsidRDefault="008D0A59" w:rsidP="008D0A59">
            <w:pPr>
              <w:pStyle w:val="ListParagraph"/>
              <w:numPr>
                <w:ilvl w:val="0"/>
                <w:numId w:val="41"/>
              </w:numPr>
            </w:pPr>
            <w:r w:rsidRPr="0031391F">
              <w:t>nu are ca activitate producția sau comerțul cu armament, muniție și material de război, în conformitate cu prevederile art. 346 din Tratatul privind funcționarea Uniunii Europene;</w:t>
            </w:r>
          </w:p>
          <w:p w14:paraId="7CD712BA" w14:textId="28D59E68" w:rsidR="008D0A59" w:rsidRPr="0031391F" w:rsidRDefault="008D0A59" w:rsidP="008D0A59">
            <w:pPr>
              <w:pStyle w:val="ListParagraph"/>
              <w:numPr>
                <w:ilvl w:val="0"/>
                <w:numId w:val="41"/>
              </w:numPr>
            </w:pPr>
            <w:r w:rsidRPr="0031391F">
              <w:t>nu are ca activitate producția de energie regenerabilă din biomasă.</w:t>
            </w:r>
          </w:p>
        </w:tc>
        <w:tc>
          <w:tcPr>
            <w:tcW w:w="1179" w:type="dxa"/>
          </w:tcPr>
          <w:p w14:paraId="61F65CBC" w14:textId="77777777" w:rsidR="003C4AF1" w:rsidRPr="0031391F" w:rsidRDefault="003C4AF1" w:rsidP="00200036">
            <w:pPr>
              <w:ind w:left="0"/>
            </w:pPr>
          </w:p>
        </w:tc>
        <w:tc>
          <w:tcPr>
            <w:tcW w:w="5276" w:type="dxa"/>
          </w:tcPr>
          <w:p w14:paraId="63835E09" w14:textId="6362FDC3" w:rsidR="00CF1AB5" w:rsidRPr="0031391F" w:rsidRDefault="00CF1AB5" w:rsidP="00CF1AB5">
            <w:pPr>
              <w:ind w:left="0"/>
            </w:pPr>
            <w:r w:rsidRPr="0031391F">
              <w:t xml:space="preserve">Prin apelurile de proiecte lansate se finanțează investiții numai în domeniile de activitate eligibile (clase  CAEN), așa cum sunt enumerate în Anexa 14.3 la ghid cu condiția să nu favorizeze domeniile excluse de prevederile regulamentului UE 1060/2021, a regulamentului UE 1056/2021 și a regulamentelor aplicabile în materia ajutorului de stat regional și respectiv de minimis, toate </w:t>
            </w:r>
            <w:r w:rsidRPr="0031391F">
              <w:lastRenderedPageBreak/>
              <w:t>cu modificările și completările ulterioare, a analizei DNSH.</w:t>
            </w:r>
          </w:p>
          <w:p w14:paraId="268F2956" w14:textId="34938703" w:rsidR="00CF1AB5" w:rsidRPr="0031391F" w:rsidRDefault="00CF1AB5" w:rsidP="00CF1AB5">
            <w:pPr>
              <w:ind w:left="0"/>
            </w:pPr>
            <w:r w:rsidRPr="0031391F">
              <w:t>În cazul în care investiția presupune achiziția unui activ care, prin natura și funcțiile sale, poate fi exploatat în desfășurarea inclusiv a unor activități adiacente, ce aparțin unor domenii de activitate distincte/adiacente, clasa CAEN vizată de proiect este reprezentată de ”domeniul principal”, respectiv domeniul în care bunul respectiv este utilizat în mod preponderent.</w:t>
            </w:r>
          </w:p>
          <w:p w14:paraId="53495B21" w14:textId="77777777" w:rsidR="00CF1AB5" w:rsidRPr="0031391F" w:rsidRDefault="00CF1AB5" w:rsidP="00CF1AB5">
            <w:pPr>
              <w:ind w:left="0"/>
            </w:pPr>
            <w:r w:rsidRPr="0031391F">
              <w:t>De asemenea, proiectul este neeligibil dacă:</w:t>
            </w:r>
          </w:p>
          <w:p w14:paraId="4039E0AC" w14:textId="77777777" w:rsidR="00CF1AB5" w:rsidRPr="0031391F" w:rsidRDefault="00CF1AB5" w:rsidP="00CF1AB5">
            <w:pPr>
              <w:ind w:left="0"/>
            </w:pPr>
            <w:r w:rsidRPr="0031391F">
              <w:t>-</w:t>
            </w:r>
            <w:r w:rsidRPr="0031391F">
              <w:tab/>
              <w:t>se încadrează în situațiile de excludere conform art. 1 coroborat cu art. 13 din Regulamentul (UE) nr. 651/2014 al Comisiei Europene din 17 iunie 2014 de declarare a anumitor categorii de ajutoare compatibile cu piața internă în aplicarea articolelor 107 și 108 din tratat, cu modificările şi completările ulterioare;</w:t>
            </w:r>
          </w:p>
          <w:p w14:paraId="076CFE9B" w14:textId="77777777" w:rsidR="00CF1AB5" w:rsidRPr="0031391F" w:rsidRDefault="00CF1AB5" w:rsidP="00CF1AB5">
            <w:pPr>
              <w:ind w:left="0"/>
            </w:pPr>
            <w:r w:rsidRPr="0031391F">
              <w:t>-</w:t>
            </w:r>
            <w:r w:rsidRPr="0031391F">
              <w:tab/>
              <w:t>vizează domeniile de activitate și tipurile de activități prevăzute de dispozițiile art. 1 al Regulamentului (UE) nr. 1407/2013 privind aplicarea articolelor 107 și 108 din Tratatul privind funcționarea Uniunii Europene ajutoarelor de minimis, cu modificările şi completările ulterioare;</w:t>
            </w:r>
          </w:p>
          <w:p w14:paraId="7B7024CC" w14:textId="77777777" w:rsidR="00CF1AB5" w:rsidRPr="0031391F" w:rsidRDefault="00CF1AB5" w:rsidP="00CF1AB5">
            <w:pPr>
              <w:ind w:left="0"/>
            </w:pPr>
            <w:r w:rsidRPr="0031391F">
              <w:t>-</w:t>
            </w:r>
            <w:r w:rsidRPr="0031391F">
              <w:tab/>
              <w:t>are ca activitate producția sau comerțul cu armament, muniție și material de război, în conformitate cu prevederile art. 346 din Tratatul privind funcționarea Uniunii Europene;</w:t>
            </w:r>
          </w:p>
          <w:p w14:paraId="1840918F" w14:textId="77777777" w:rsidR="00CF1AB5" w:rsidRPr="0031391F" w:rsidRDefault="00CF1AB5" w:rsidP="00CF1AB5">
            <w:pPr>
              <w:ind w:left="0"/>
            </w:pPr>
            <w:r w:rsidRPr="0031391F">
              <w:t>-</w:t>
            </w:r>
            <w:r w:rsidRPr="0031391F">
              <w:tab/>
              <w:t>are ca activitate producția de energie regenerabilă din biomasă.</w:t>
            </w:r>
          </w:p>
          <w:p w14:paraId="6798E745" w14:textId="001CE0B6" w:rsidR="003C4AF1" w:rsidRPr="0031391F" w:rsidRDefault="00CF1AB5" w:rsidP="00CF1AB5">
            <w:pPr>
              <w:ind w:left="0"/>
            </w:pPr>
            <w:r w:rsidRPr="0031391F">
              <w:t xml:space="preserve">În cazul în care o întreprindere își desfășoară activitatea atât în sectoarele excluse, cât și în sectoarele care intră în domeniul de aplicare al prezentului ghid, ajutoarele </w:t>
            </w:r>
            <w:r w:rsidRPr="0031391F">
              <w:lastRenderedPageBreak/>
              <w:t>acordate pentru aceste ultime sectoare sau activități se vor acorda doar dacă beneficiarul se va asigura, prin mijloace corespunzătoare, precum separarea activităților, cât și a costurilor, că activitățile desfășurate în sectoarele excluse nu beneficiază de ajutoarele acordate.</w:t>
            </w:r>
          </w:p>
        </w:tc>
      </w:tr>
      <w:tr w:rsidR="0062052C" w:rsidRPr="0031391F" w14:paraId="56E03A18" w14:textId="77777777" w:rsidTr="0090527E">
        <w:tc>
          <w:tcPr>
            <w:tcW w:w="693" w:type="dxa"/>
          </w:tcPr>
          <w:p w14:paraId="4E23EE8E" w14:textId="0CE447D6" w:rsidR="0062052C" w:rsidRPr="0031391F" w:rsidRDefault="00CF1AB5" w:rsidP="0062052C">
            <w:pPr>
              <w:ind w:left="0"/>
              <w:jc w:val="center"/>
            </w:pPr>
            <w:r w:rsidRPr="0031391F">
              <w:lastRenderedPageBreak/>
              <w:t>3</w:t>
            </w:r>
          </w:p>
        </w:tc>
        <w:tc>
          <w:tcPr>
            <w:tcW w:w="6869" w:type="dxa"/>
          </w:tcPr>
          <w:p w14:paraId="5383AF8D" w14:textId="6A52F376" w:rsidR="0062052C" w:rsidRPr="0031391F" w:rsidRDefault="00CF1AB5" w:rsidP="00CF1AB5">
            <w:pPr>
              <w:ind w:left="0"/>
            </w:pPr>
            <w:r w:rsidRPr="0031391F">
              <w:t>Domeniul de activitate în care se realizează investiția - Solicitantul are domeniul de activitate eligibil vizat de investiție, înscris în obiectul de activitate</w:t>
            </w:r>
          </w:p>
        </w:tc>
        <w:tc>
          <w:tcPr>
            <w:tcW w:w="1179" w:type="dxa"/>
          </w:tcPr>
          <w:p w14:paraId="7DF298A0" w14:textId="77777777" w:rsidR="0062052C" w:rsidRPr="0031391F" w:rsidRDefault="0062052C" w:rsidP="00200036">
            <w:pPr>
              <w:ind w:left="0"/>
            </w:pPr>
          </w:p>
        </w:tc>
        <w:tc>
          <w:tcPr>
            <w:tcW w:w="5276" w:type="dxa"/>
          </w:tcPr>
          <w:p w14:paraId="5B044296" w14:textId="77777777" w:rsidR="00CF1AB5" w:rsidRPr="0031391F" w:rsidRDefault="00CF1AB5" w:rsidP="00CF1AB5">
            <w:pPr>
              <w:ind w:left="0"/>
            </w:pPr>
            <w:r w:rsidRPr="0031391F">
              <w:t>La depunerea cererii de finanțare, solicitantul trebuie să aibă deja domeniul/domeniile de activitate eligibile vizat/e de investiție, înscris/e în obiectul de activitate (conform certificatului constatator ORC), indiferent dacă reprezintă activitatea principală sau secundară a întreprinderii.</w:t>
            </w:r>
          </w:p>
          <w:p w14:paraId="5ED61B3F" w14:textId="39F056C2" w:rsidR="0062052C" w:rsidRPr="0031391F" w:rsidRDefault="0062052C" w:rsidP="00CF1AB5">
            <w:pPr>
              <w:ind w:left="0"/>
            </w:pPr>
          </w:p>
        </w:tc>
      </w:tr>
      <w:tr w:rsidR="0062052C" w:rsidRPr="0031391F" w14:paraId="64110DB2" w14:textId="77777777" w:rsidTr="0090527E">
        <w:tc>
          <w:tcPr>
            <w:tcW w:w="693" w:type="dxa"/>
          </w:tcPr>
          <w:p w14:paraId="023A1216" w14:textId="5E92D529" w:rsidR="0062052C" w:rsidRPr="0031391F" w:rsidRDefault="00CF1AB5" w:rsidP="0062052C">
            <w:pPr>
              <w:ind w:left="0"/>
              <w:jc w:val="center"/>
            </w:pPr>
            <w:r w:rsidRPr="0031391F">
              <w:t>4</w:t>
            </w:r>
          </w:p>
        </w:tc>
        <w:tc>
          <w:tcPr>
            <w:tcW w:w="6869" w:type="dxa"/>
          </w:tcPr>
          <w:p w14:paraId="08D485F3" w14:textId="18897D21" w:rsidR="0062052C" w:rsidRPr="0031391F" w:rsidRDefault="00CF1AB5" w:rsidP="003D6212">
            <w:pPr>
              <w:ind w:left="0"/>
            </w:pPr>
            <w:r w:rsidRPr="0031391F">
              <w:t>Domeniul de activitate în care se realizează investiția - Solicitantul are domeniul de activitate eligibil vizat de investiție, autorizat la sediul (principal sau secundar) identificat ca loc de implementare a proiectului, cu excepția cazului în care cererea de finanțare presupune înființarea unui sediu secundar ori activarea într-un nou domeniu de activitate ca urmare a realizării investiției</w:t>
            </w:r>
          </w:p>
        </w:tc>
        <w:tc>
          <w:tcPr>
            <w:tcW w:w="1179" w:type="dxa"/>
          </w:tcPr>
          <w:p w14:paraId="5C237858" w14:textId="77777777" w:rsidR="0062052C" w:rsidRPr="0031391F" w:rsidRDefault="0062052C" w:rsidP="00200036">
            <w:pPr>
              <w:ind w:left="0"/>
            </w:pPr>
          </w:p>
        </w:tc>
        <w:tc>
          <w:tcPr>
            <w:tcW w:w="5276" w:type="dxa"/>
          </w:tcPr>
          <w:p w14:paraId="1D4B2CFD" w14:textId="77777777" w:rsidR="00B52B3D" w:rsidRPr="0031391F" w:rsidRDefault="00B52B3D" w:rsidP="00B52B3D">
            <w:pPr>
              <w:ind w:left="0"/>
            </w:pPr>
            <w:r w:rsidRPr="0031391F">
              <w:t>La depunerea cererii de finanțare, solicitantul trebuie să aibă deja domeniul/domeniile de activitate eligibile vizat/e de investiție, autorizat/e la sediul (principal sau secundar) identificat ca loc de implementare a proiectului. Domeniul/domeniile de activitate (clase CAEN) în care dorești să realizeze investiția/proiectul trebuie declarat/e și autorizat/e distinct la locul de implementare a proiectului.</w:t>
            </w:r>
          </w:p>
          <w:p w14:paraId="57CCBA39" w14:textId="6809A8F8" w:rsidR="0062052C" w:rsidRPr="0031391F" w:rsidRDefault="00B52B3D" w:rsidP="00B52B3D">
            <w:pPr>
              <w:ind w:left="0"/>
            </w:pPr>
            <w:r w:rsidRPr="0031391F">
              <w:t>Prin excepție, în cazul unei cereri de finanțare care presupune înființarea unui sediu secundar (punct de lucru) ori activarea într-un nou domeniu de activitate (clasa CAEN) ca urmare a realizării investiției, solicitantul se va angaja (prin declarația de angajament) ca, până la finalizarea implementării proiectului, să înregistreze locul de implementare ca punct de lucru și/sau să autorizeze clasa/clasele CAEN vizată de investiție, la locul de implementare.</w:t>
            </w:r>
          </w:p>
        </w:tc>
      </w:tr>
      <w:tr w:rsidR="00CF1AB5" w:rsidRPr="0031391F" w14:paraId="73A30D3C" w14:textId="77777777" w:rsidTr="0090527E">
        <w:tc>
          <w:tcPr>
            <w:tcW w:w="693" w:type="dxa"/>
          </w:tcPr>
          <w:p w14:paraId="626E7C44" w14:textId="65599D23" w:rsidR="00CF1AB5" w:rsidRPr="0031391F" w:rsidRDefault="00B52B3D" w:rsidP="0062052C">
            <w:pPr>
              <w:ind w:left="0"/>
              <w:jc w:val="center"/>
            </w:pPr>
            <w:r w:rsidRPr="0031391F">
              <w:lastRenderedPageBreak/>
              <w:t>5</w:t>
            </w:r>
          </w:p>
        </w:tc>
        <w:tc>
          <w:tcPr>
            <w:tcW w:w="6869" w:type="dxa"/>
          </w:tcPr>
          <w:p w14:paraId="43A219D7" w14:textId="4A5A6321" w:rsidR="00CF1AB5" w:rsidRPr="0031391F" w:rsidRDefault="00B52B3D" w:rsidP="003D6212">
            <w:pPr>
              <w:ind w:left="0"/>
            </w:pPr>
            <w:r w:rsidRPr="0031391F">
              <w:t>Locul de implementare - Unitatea de producție/ prestare servicii finanțată trebuie să fie localizată în zona vizată de apel</w:t>
            </w:r>
          </w:p>
        </w:tc>
        <w:tc>
          <w:tcPr>
            <w:tcW w:w="1179" w:type="dxa"/>
          </w:tcPr>
          <w:p w14:paraId="3CC61E7A" w14:textId="77777777" w:rsidR="00CF1AB5" w:rsidRPr="0031391F" w:rsidRDefault="00CF1AB5" w:rsidP="00200036">
            <w:pPr>
              <w:ind w:left="0"/>
            </w:pPr>
          </w:p>
        </w:tc>
        <w:tc>
          <w:tcPr>
            <w:tcW w:w="5276" w:type="dxa"/>
          </w:tcPr>
          <w:p w14:paraId="56EE8C13" w14:textId="2FB3FCAE" w:rsidR="00B52B3D" w:rsidRPr="0031391F" w:rsidRDefault="00B52B3D" w:rsidP="00B52B3D">
            <w:pPr>
              <w:ind w:left="0"/>
            </w:pPr>
            <w:r w:rsidRPr="0031391F">
              <w:t>Zona vizată de apel este detaliată la secțiunea 3.5 din Ghid.</w:t>
            </w:r>
          </w:p>
          <w:p w14:paraId="1880A8F8" w14:textId="77777777" w:rsidR="00B52B3D" w:rsidRPr="0031391F" w:rsidRDefault="00B52B3D" w:rsidP="00B52B3D">
            <w:pPr>
              <w:ind w:left="0"/>
            </w:pPr>
            <w:r w:rsidRPr="0031391F">
              <w:t>La depunerea cererii de finanţare, solicitantul trebuie să aibă deja locul de implementare a proiectului înregistrat ca sediu principal sau secundar în zona vizată de apel. Prin excepție, în situația unei cereri de finanțare care presupune înființarea unui sediu secundar ca urmare a realizării investiției, solicitantul se va angaja (prin Declaratia unică) ca, până la finalizarea implementării proiectului, să înregistreze locul de implementare ca sediu principal/secundar în zona vizată de apel.</w:t>
            </w:r>
          </w:p>
          <w:p w14:paraId="1ADEF36F" w14:textId="77777777" w:rsidR="00B52B3D" w:rsidRPr="0031391F" w:rsidRDefault="00B52B3D" w:rsidP="00B52B3D">
            <w:pPr>
              <w:ind w:left="0"/>
            </w:pPr>
            <w:r w:rsidRPr="0031391F">
              <w:t>Până la finalizarea implementării proiectului, solicitantul trebuie să înregistreze fiscal locul de implementare a proiectului și a echipamentelor în zona vizată de apel, în conformitate cu prevederile legale aplicabile.</w:t>
            </w:r>
          </w:p>
          <w:p w14:paraId="762DABC8" w14:textId="77777777" w:rsidR="00B52B3D" w:rsidRPr="0031391F" w:rsidRDefault="00B52B3D" w:rsidP="00B52B3D">
            <w:pPr>
              <w:ind w:left="0"/>
            </w:pPr>
            <w:r w:rsidRPr="0031391F">
              <w:t>Locul de implementare trebuie să fie adecvat pentru realizarea proiectului. Aceasta presupune, cu titlu exemplificativ: există posibilitatea racordării la toate utilitățile necesare funcționării; nu este ocupat de alți utilizatori; nu este ocupat cu alte bunuri sau echipamente care nu au legătură cu investiția sau activitatea derulată de solicitant pentru care solicită finanțare; nu prezintă degradări incompatibile cu realizarea investiției propuse pentru acele elemente care nu fac obiectul investițiilor prin proiectul depus; nu prezintă un grad de uzură avansat pentru acele elemente care nu fac obiectul investițiilor prin proiectul depus, etc; corespunde cu descrierea din cererea de finanțare și Planul de afaceri.</w:t>
            </w:r>
          </w:p>
          <w:p w14:paraId="178C1234" w14:textId="51241C47" w:rsidR="00CF1AB5" w:rsidRPr="0031391F" w:rsidRDefault="00B52B3D" w:rsidP="00B52B3D">
            <w:pPr>
              <w:ind w:left="0"/>
            </w:pPr>
            <w:r w:rsidRPr="0031391F">
              <w:t xml:space="preserve">O investiție se poate realiza la două (sau mai multe) locuri de implementare, atât timp cât sunt respectate toate condițiile de eligibilitate, iar proiectul nu constă, de fapt, în două (sau mai multe) investiții distincte sub umbrela </w:t>
            </w:r>
            <w:r w:rsidRPr="0031391F">
              <w:lastRenderedPageBreak/>
              <w:t>unei singure cereri de finanțare. Cu titlu de exemplu, extinderea capacității a două pensiuni (aflate în aceeași localitate sau în localități diferite) ar constitui, de fapt, două proiecte de investiție distincte, chiar dacă clasa CAEN vizată ar fi aceeași. Pe de altă parte, tot cu titlu de exemplu, dotarea a două spații de producție (localizate distinct), în care solicitantul desfășoară etape diferite din același flux tehnologic, poate fi considerată o investiție unică.</w:t>
            </w:r>
          </w:p>
        </w:tc>
      </w:tr>
      <w:tr w:rsidR="00B52B3D" w:rsidRPr="0031391F" w14:paraId="24EB6FD5" w14:textId="77777777" w:rsidTr="0090527E">
        <w:tc>
          <w:tcPr>
            <w:tcW w:w="693" w:type="dxa"/>
          </w:tcPr>
          <w:p w14:paraId="5413424D" w14:textId="7D833FEA" w:rsidR="00B52B3D" w:rsidRPr="0031391F" w:rsidRDefault="00B52B3D" w:rsidP="0062052C">
            <w:pPr>
              <w:ind w:left="0"/>
              <w:jc w:val="center"/>
            </w:pPr>
            <w:r w:rsidRPr="0031391F">
              <w:lastRenderedPageBreak/>
              <w:t>6</w:t>
            </w:r>
          </w:p>
        </w:tc>
        <w:tc>
          <w:tcPr>
            <w:tcW w:w="6869" w:type="dxa"/>
          </w:tcPr>
          <w:p w14:paraId="01E37292" w14:textId="3FF5F8FF" w:rsidR="00B52B3D" w:rsidRPr="0031391F" w:rsidRDefault="00B52B3D" w:rsidP="003D6212">
            <w:pPr>
              <w:ind w:left="0"/>
            </w:pPr>
            <w:r w:rsidRPr="0031391F">
              <w:t>Nu sunt eligibile proiectele care includ investiții demarate  (i.e. a fost începută execuția lucrărilor de construcții sau a fost dată o comandă fermă de bunuri) înainte de depunerea cererii de finanțare</w:t>
            </w:r>
          </w:p>
        </w:tc>
        <w:tc>
          <w:tcPr>
            <w:tcW w:w="1179" w:type="dxa"/>
          </w:tcPr>
          <w:p w14:paraId="0DAF026A" w14:textId="77777777" w:rsidR="00B52B3D" w:rsidRPr="0031391F" w:rsidRDefault="00B52B3D" w:rsidP="00200036">
            <w:pPr>
              <w:ind w:left="0"/>
            </w:pPr>
          </w:p>
        </w:tc>
        <w:tc>
          <w:tcPr>
            <w:tcW w:w="5276" w:type="dxa"/>
          </w:tcPr>
          <w:p w14:paraId="78F1C9AA" w14:textId="77777777" w:rsidR="00B52B3D" w:rsidRPr="0031391F" w:rsidRDefault="00B52B3D" w:rsidP="00B52B3D">
            <w:pPr>
              <w:ind w:left="0"/>
            </w:pPr>
            <w:r w:rsidRPr="0031391F">
              <w:t>Ajutorul regional poate fi acordat, în baza Regulamentului (UE) nr. 651/2014, doar dacă este îndeplinită condiția privind existența efectului stimulativ. Se consideră că ajutoarele au un efect stimulativ dacă beneficiarul a depus o cerere de finanțare înainte de demararea investiției.</w:t>
            </w:r>
          </w:p>
          <w:p w14:paraId="6ED274EB" w14:textId="77777777" w:rsidR="00B52B3D" w:rsidRPr="0031391F" w:rsidRDefault="00B52B3D" w:rsidP="00B52B3D">
            <w:pPr>
              <w:ind w:left="0"/>
            </w:pPr>
            <w:r w:rsidRPr="0031391F">
              <w:t xml:space="preserve">Demararea investiției înseamnă fie demararea lucrărilor de construcții în cadrul investiției, fie primul angajament cu caracter juridic obligatoriu de comandă pentru echipamente sau oricare alt angajament prin care investiția devine ireversibilă, în funcție de care are loc primul. Cumpărarea de terenuri și lucrările pregătitoare, cum ar fi obținerea permiselor și realizarea studiilor de fezabilitate, nu sunt considerate drept demarare a lucrărilor. În cazul preluărilor de întreprinderi, „demararea lucrărilor” corespunde datei dobândirii activelor direct legate de unitatea preluată. Achiziția unui teren pe care există construcții/ structuri construite poate fi asimilată cumpărării de terenuri, caz în care această acțiune nu este considerată ”demarare a lucrărilor”. Însă, toate lucrările care constau în restructurarea și adaptarea clădirilor și terenurilor în vederea realizării proiectului de investiție finanțat prin </w:t>
            </w:r>
            <w:r w:rsidRPr="0031391F">
              <w:lastRenderedPageBreak/>
              <w:t>ajutor de stat vor fi considerate ca reprezentând ”demararea lucrărilor”, în sensul definiției de mai sus.</w:t>
            </w:r>
          </w:p>
          <w:p w14:paraId="1ADC4672" w14:textId="77777777" w:rsidR="00B52B3D" w:rsidRPr="0031391F" w:rsidRDefault="00B52B3D" w:rsidP="00B52B3D">
            <w:pPr>
              <w:ind w:left="0"/>
            </w:pPr>
            <w:r w:rsidRPr="0031391F">
              <w:t>În principiu, în cazul în care o întreprindere are nevoie de un ajutor de stat pentru a realiza un proiect specific, aceasta nu ar trebui, din rațiuni economice, să demareze realizarea proiectului înainte de a-și asigura sursele de finanțare. Cu titlu de exemplu, în cazul în care lucrările de construire a unui imobil, în vederea desfășurării unei anumite activități, au fost demarate înainte de depunerea unei cereri de finanțare, un ajutor regional pentru finalizarea lucrărilor de construire și/sau dotarea imobilului cu echipamente specifice respectivei activități nu ar îndeplini condiția privind existența efectului stimulativ.</w:t>
            </w:r>
          </w:p>
          <w:p w14:paraId="0DFC58E8" w14:textId="0F874C9F" w:rsidR="00B52B3D" w:rsidRPr="0031391F" w:rsidRDefault="00B52B3D" w:rsidP="00B52B3D">
            <w:pPr>
              <w:ind w:left="0"/>
            </w:pPr>
            <w:r w:rsidRPr="0031391F">
              <w:t>Nu se consideră că investiția a fost demarată dacă, asupra imobilului ce face obiectul investiției, au fost efectuate și finalizate lucrări de demolare înainte de depunerea cererii de finanțare. Orice lucrări de  demolare, realizate în cadrul proiectului (inclusiv încheierea unui contract pentru execuția lucrărilor de demolare), trebuie să fie demarate după depunerea cererii de finanțare.</w:t>
            </w:r>
          </w:p>
        </w:tc>
      </w:tr>
      <w:tr w:rsidR="003C4AF1" w:rsidRPr="0031391F" w14:paraId="307CBEFC" w14:textId="6FED414B" w:rsidTr="0090527E">
        <w:tc>
          <w:tcPr>
            <w:tcW w:w="693" w:type="dxa"/>
          </w:tcPr>
          <w:p w14:paraId="7E61AECB" w14:textId="2E2112B7" w:rsidR="003C4AF1" w:rsidRPr="0031391F" w:rsidRDefault="00B52B3D" w:rsidP="00200036">
            <w:pPr>
              <w:ind w:left="0"/>
              <w:jc w:val="center"/>
            </w:pPr>
            <w:r w:rsidRPr="0031391F">
              <w:lastRenderedPageBreak/>
              <w:t>7</w:t>
            </w:r>
          </w:p>
        </w:tc>
        <w:tc>
          <w:tcPr>
            <w:tcW w:w="6869" w:type="dxa"/>
          </w:tcPr>
          <w:p w14:paraId="047BB00A" w14:textId="2B059381" w:rsidR="003C4AF1" w:rsidRPr="0031391F" w:rsidRDefault="00B52B3D" w:rsidP="00200036">
            <w:pPr>
              <w:ind w:left="0"/>
            </w:pPr>
            <w:r w:rsidRPr="0031391F">
              <w:t>Proiectele nu includ activități care au făcut parte dintr-o operațiune care este relocată în conformitate cu art. 66 sau care ar constitui un transfer al unei activități productive în conformitate cu articolul 65 alineatul (1) litera (a) din Regulamentul UE 1060/2021, cu modificările și completările ulterioare</w:t>
            </w:r>
          </w:p>
        </w:tc>
        <w:tc>
          <w:tcPr>
            <w:tcW w:w="1179" w:type="dxa"/>
          </w:tcPr>
          <w:p w14:paraId="181D20B7" w14:textId="77777777" w:rsidR="003C4AF1" w:rsidRPr="0031391F" w:rsidRDefault="003C4AF1" w:rsidP="00200036">
            <w:pPr>
              <w:ind w:left="0"/>
            </w:pPr>
          </w:p>
        </w:tc>
        <w:tc>
          <w:tcPr>
            <w:tcW w:w="5276" w:type="dxa"/>
          </w:tcPr>
          <w:p w14:paraId="0A9DE465" w14:textId="77777777" w:rsidR="00B52B3D" w:rsidRPr="0031391F" w:rsidRDefault="00B52B3D" w:rsidP="00B52B3D">
            <w:pPr>
              <w:ind w:left="0"/>
            </w:pPr>
            <w:r w:rsidRPr="0031391F">
              <w:t xml:space="preserve">Relocare înseamnă transferul unei activități identice sau similare sau a unei părţi a acesteia de la o unitate a uneia dintre părţile contractante la Acordul privind SEE (unitatea iniţială) către unitatea unei alte părţi contractante la Acordul privind SEE unde are loc investiția care beneficiază de ajutor (unitatea care beneficiază de ajutor). Există un transfer în cazul în care produsul sau serviciul de la unitatea iniţială și de la unitatea care beneficiază de ajutor au cel puţin parţial aceleași scopuri, îndeplinesc cerințele sau necesitățile aceluiași tip de clienţi și se pierd locuri de muncă în </w:t>
            </w:r>
            <w:r w:rsidRPr="0031391F">
              <w:lastRenderedPageBreak/>
              <w:t xml:space="preserve">activităţi identice sau similare la una din unităţile iniţiale ale beneficiarului din SEE. </w:t>
            </w:r>
          </w:p>
          <w:p w14:paraId="664FB1E2" w14:textId="77777777" w:rsidR="00B52B3D" w:rsidRPr="0031391F" w:rsidRDefault="00B52B3D" w:rsidP="00B52B3D">
            <w:pPr>
              <w:ind w:left="0"/>
            </w:pPr>
            <w:r w:rsidRPr="0031391F">
              <w:t xml:space="preserve">Această prevedere se aplică la nivel de ”grup” (în cazul în care beneficiarul face parte dintr-un grup de firme, i.e. grup de întreprinderi legate, în conformitate cu prevederile Legii 346/2004). </w:t>
            </w:r>
          </w:p>
          <w:p w14:paraId="1A6817FA" w14:textId="77777777" w:rsidR="00B52B3D" w:rsidRPr="0031391F" w:rsidRDefault="00B52B3D" w:rsidP="00B52B3D">
            <w:pPr>
              <w:ind w:left="0"/>
            </w:pPr>
            <w:r w:rsidRPr="0031391F">
              <w:t xml:space="preserve">Se consideră transfer al unei activități identice sau similare sau al unei părți a acesteia către unitatea în care urmează să aibă loc investiția inițială pentru care se solicită ajutorul, în cei doi ani anteriori depunerii cererii de finanțare. De asemenea, acesta se angajează că nu va face acest lucru pentru întreaga perioadă de durabilitate a investiției. </w:t>
            </w:r>
          </w:p>
          <w:p w14:paraId="266C8260" w14:textId="77777777" w:rsidR="00B52B3D" w:rsidRPr="0031391F" w:rsidRDefault="00B52B3D" w:rsidP="00B52B3D">
            <w:pPr>
              <w:ind w:left="0"/>
            </w:pPr>
            <w:r w:rsidRPr="0031391F">
              <w:t xml:space="preserve">Există un transfer în cazul în care produsul sau serviciul de la unitatea inițială și de la unitatea care beneficiază de ajutor au cel puțin parțial aceleași scopuri, îndeplinesc cerințele sau necesitățile aceluiași tip de clienți și se pierd locuri de muncă în activități identice sau similare la una din unitățile inițiale ale beneficiarului din Spațiul Economic European. </w:t>
            </w:r>
          </w:p>
          <w:p w14:paraId="2BD26B54" w14:textId="77777777" w:rsidR="00B52B3D" w:rsidRPr="0031391F" w:rsidRDefault="00B52B3D" w:rsidP="00B52B3D">
            <w:pPr>
              <w:ind w:left="0"/>
            </w:pPr>
            <w:r w:rsidRPr="0031391F">
              <w:t>Aceeași activitate sau o activitate similară înseamnă o activitate care face parte din aceeași clasă (cod numeric de patru cifre) a Nomenclatorului statistic al activităților economice NACE a doua revizuire așa cum e prevăzut în Regulamentul (CE) nr. 1893/2006 al Parlamentului European și al Consiliului din 20 decembrie 2006 de stabilire a Nomenclatorului statistic al activităților economice NACE a doua revizuire și de modificare a Regulamentului (CEE) nr. 3037/90 al Consiliului, precum și a anumitor regulamente CE privind domenii statistice specifice.</w:t>
            </w:r>
          </w:p>
          <w:p w14:paraId="4B72FE2D" w14:textId="21AC1124" w:rsidR="00B52B3D" w:rsidRPr="0031391F" w:rsidRDefault="00B52B3D" w:rsidP="00B52B3D">
            <w:pPr>
              <w:ind w:left="0"/>
            </w:pPr>
            <w:r w:rsidRPr="0031391F">
              <w:lastRenderedPageBreak/>
              <w:t>De asemenea, ajutorul regional nu poate fi acordat unui beneficiar care a închis aceeași activitate sau o activitate similară în Spațiul Economic European (SEE) în cei doi ani care preced depunerea cererii de finanțare sau care, în momentul depunerii cererii de finanțare, are planuri concrete de a închide o astfel de activitate, oricând după depunerea cererii de finanțare inclusiv trei ani după finalizarea investiției inițiale pentru care solicită finanțare, în zona în cauză. Această prevedere se aplică la nivel de” grup” (în cazul în care beneficiarul face parte dintr-un grup de firme, i.e. grup de întreprinderi legate, în conformitate cu prevederile Legii 346/2004) și doar dacă închiderea/ relocalizarea activității implică state SEE diferite, i.e. închiderea activității se realizează într-un stat SEE, iar investiția pentru care se solicită ajutor regional se desfășoară într-un alt stat SEE.</w:t>
            </w:r>
          </w:p>
          <w:p w14:paraId="7BEEC46B" w14:textId="1D0CC848" w:rsidR="003C4AF1" w:rsidRPr="0031391F" w:rsidRDefault="00B52B3D" w:rsidP="00B52B3D">
            <w:pPr>
              <w:ind w:left="0"/>
            </w:pPr>
            <w:r w:rsidRPr="0031391F">
              <w:t>Realizarea unor lucrări de extindere a unui spațiu de producție a cărui construire a beneficiat de finanțare publică în ultimii 5 ani înainte de data depunerii cererii de finanțare se consideră a respecta această condiție de eligibilitate.</w:t>
            </w:r>
          </w:p>
        </w:tc>
      </w:tr>
      <w:tr w:rsidR="00CF1990" w:rsidRPr="0031391F" w14:paraId="3B1CD682" w14:textId="11F2258D" w:rsidTr="0090527E">
        <w:tc>
          <w:tcPr>
            <w:tcW w:w="693" w:type="dxa"/>
          </w:tcPr>
          <w:p w14:paraId="025DA8ED" w14:textId="6770CCAD" w:rsidR="00CF1990" w:rsidRPr="0031391F" w:rsidRDefault="00CF1990" w:rsidP="00200036">
            <w:pPr>
              <w:ind w:left="0"/>
              <w:jc w:val="center"/>
              <w:rPr>
                <w:b/>
              </w:rPr>
            </w:pPr>
            <w:r w:rsidRPr="0031391F">
              <w:rPr>
                <w:b/>
              </w:rPr>
              <w:lastRenderedPageBreak/>
              <w:t>B3</w:t>
            </w:r>
          </w:p>
        </w:tc>
        <w:tc>
          <w:tcPr>
            <w:tcW w:w="13324" w:type="dxa"/>
            <w:gridSpan w:val="3"/>
          </w:tcPr>
          <w:p w14:paraId="11973C43" w14:textId="209F3413" w:rsidR="00CF1990" w:rsidRPr="0031391F" w:rsidRDefault="00CF1990" w:rsidP="00200036">
            <w:pPr>
              <w:ind w:left="0"/>
              <w:rPr>
                <w:b/>
              </w:rPr>
            </w:pPr>
            <w:r w:rsidRPr="0031391F">
              <w:rPr>
                <w:b/>
              </w:rPr>
              <w:t>Eligibilitatea activităților</w:t>
            </w:r>
          </w:p>
        </w:tc>
      </w:tr>
      <w:tr w:rsidR="003C4AF1" w:rsidRPr="0031391F" w14:paraId="10E33DAC" w14:textId="4454A1F3" w:rsidTr="0090527E">
        <w:tc>
          <w:tcPr>
            <w:tcW w:w="693" w:type="dxa"/>
          </w:tcPr>
          <w:p w14:paraId="2A20DD89" w14:textId="30D71BBA" w:rsidR="003C4AF1" w:rsidRPr="0031391F" w:rsidRDefault="00CF1990" w:rsidP="00200036">
            <w:pPr>
              <w:ind w:left="0"/>
              <w:jc w:val="center"/>
            </w:pPr>
            <w:r w:rsidRPr="0031391F">
              <w:t>1</w:t>
            </w:r>
          </w:p>
        </w:tc>
        <w:tc>
          <w:tcPr>
            <w:tcW w:w="6869" w:type="dxa"/>
          </w:tcPr>
          <w:p w14:paraId="49DFA4EA" w14:textId="08A21633" w:rsidR="003C4AF1" w:rsidRPr="0031391F" w:rsidRDefault="00657405" w:rsidP="00200036">
            <w:pPr>
              <w:ind w:left="0"/>
            </w:pPr>
            <w:r w:rsidRPr="0031391F">
              <w:t>Proiectul include tipuri de investiții eligibile potrivit Ghidului solicitantului aplicabil</w:t>
            </w:r>
          </w:p>
        </w:tc>
        <w:tc>
          <w:tcPr>
            <w:tcW w:w="1179" w:type="dxa"/>
          </w:tcPr>
          <w:p w14:paraId="23C67E2D" w14:textId="77777777" w:rsidR="003C4AF1" w:rsidRPr="0031391F" w:rsidRDefault="003C4AF1" w:rsidP="00200036">
            <w:pPr>
              <w:ind w:left="0"/>
            </w:pPr>
          </w:p>
        </w:tc>
        <w:tc>
          <w:tcPr>
            <w:tcW w:w="5276" w:type="dxa"/>
          </w:tcPr>
          <w:p w14:paraId="4A83BAE8" w14:textId="77777777" w:rsidR="00657405" w:rsidRPr="0031391F" w:rsidRDefault="00657405" w:rsidP="00657405">
            <w:pPr>
              <w:ind w:left="0"/>
            </w:pPr>
            <w:r w:rsidRPr="0031391F">
              <w:t>Investițiile eligibile în cadrul unui proiect trebuie să fie legate de crearea unei noi unități, de extinderea unei unități existente, sau de diversificarea producției unei unități prin realizarea unor produse noi, în conformitate cu prevederile referitoare la investițiile inițiale, din Regulamentul Comisiei (UE) nr. 651/2014 din 17 iunie 2014 de declarare a anumitor categorii de ajutoare compatibile cu piața internă în aplicarea articolelor 107 și 108 din tratat, cu modificările și completările ulterioare.</w:t>
            </w:r>
          </w:p>
          <w:p w14:paraId="7DD5CB01" w14:textId="3AA62FAC" w:rsidR="003C4AF1" w:rsidRPr="0031391F" w:rsidRDefault="00657405" w:rsidP="00657405">
            <w:pPr>
              <w:ind w:left="0"/>
            </w:pPr>
            <w:r w:rsidRPr="0031391F">
              <w:lastRenderedPageBreak/>
              <w:t>Eligibilitatea unei activități nu este echivalentă cu eligibilitatea cheltuielilor efectuate pentru realizarea acelei activități.</w:t>
            </w:r>
          </w:p>
        </w:tc>
      </w:tr>
      <w:tr w:rsidR="00CF1990" w:rsidRPr="0031391F" w14:paraId="56D91E37" w14:textId="77777777" w:rsidTr="0090527E">
        <w:tc>
          <w:tcPr>
            <w:tcW w:w="693" w:type="dxa"/>
          </w:tcPr>
          <w:p w14:paraId="4D908E6E" w14:textId="21F06B98" w:rsidR="00CF1990" w:rsidRPr="0031391F" w:rsidRDefault="00657405" w:rsidP="00CF1990">
            <w:pPr>
              <w:ind w:left="0"/>
              <w:jc w:val="center"/>
            </w:pPr>
            <w:r w:rsidRPr="0031391F">
              <w:lastRenderedPageBreak/>
              <w:t>2</w:t>
            </w:r>
          </w:p>
        </w:tc>
        <w:tc>
          <w:tcPr>
            <w:tcW w:w="6869" w:type="dxa"/>
          </w:tcPr>
          <w:p w14:paraId="23D57F55" w14:textId="77777777" w:rsidR="00CF1990" w:rsidRDefault="001F4B13" w:rsidP="00D120FE">
            <w:pPr>
              <w:ind w:left="0"/>
            </w:pPr>
            <w:r w:rsidRPr="0031391F">
              <w:t xml:space="preserve">Activitățile eligibile </w:t>
            </w:r>
            <w:r w:rsidR="00D120FE" w:rsidRPr="0031391F">
              <w:t>respectă</w:t>
            </w:r>
            <w:r w:rsidRPr="0031391F">
              <w:t xml:space="preserve"> prevederile </w:t>
            </w:r>
            <w:r w:rsidR="00D120FE" w:rsidRPr="0031391F">
              <w:t>Ghidului solicitantului în ceea ce privește încadrarea în tipurile de activități eligibile finanțabile prin ajutor de stat regional, respectiv tipurile de activități eligibile finanțabile prin ajutor de minimis</w:t>
            </w:r>
            <w:r w:rsidR="008856AB">
              <w:t>, precum și pragurile asociate</w:t>
            </w:r>
          </w:p>
          <w:p w14:paraId="412FE41F" w14:textId="77777777" w:rsidR="008856AB" w:rsidRDefault="008856AB" w:rsidP="00D120FE">
            <w:pPr>
              <w:ind w:left="0"/>
            </w:pPr>
          </w:p>
          <w:p w14:paraId="29139606" w14:textId="6F6F1E8C" w:rsidR="008856AB" w:rsidRDefault="008856AB" w:rsidP="00D120FE">
            <w:pPr>
              <w:ind w:left="0"/>
            </w:pPr>
            <w:r w:rsidRPr="00E7587F">
              <w:t>Lucrările de modernizare pot fi considerate eligibile doar în măsura în care sunt aferente investiției inițiale propuse prin proiect și implică modificări/îmbunătățiri substanțiale ale infrastructurii existente</w:t>
            </w:r>
            <w:r>
              <w:t xml:space="preserve"> și doar în limita a maxim 10% din costurile aferente ajutorului de stat regional.</w:t>
            </w:r>
          </w:p>
          <w:p w14:paraId="729BD9C8" w14:textId="77777777" w:rsidR="008856AB" w:rsidRPr="00E7587F" w:rsidRDefault="008856AB" w:rsidP="008856AB">
            <w:pPr>
              <w:spacing w:before="0" w:after="0"/>
              <w:ind w:left="0"/>
              <w:rPr>
                <w:b/>
                <w:bCs/>
                <w:color w:val="0070C0"/>
              </w:rPr>
            </w:pPr>
            <w:r>
              <w:rPr>
                <w:b/>
                <w:bCs/>
                <w:color w:val="0070C0"/>
              </w:rPr>
              <w:t>Atenție!</w:t>
            </w:r>
          </w:p>
          <w:p w14:paraId="5FFECEFB" w14:textId="77777777" w:rsidR="008856AB" w:rsidRDefault="008856AB" w:rsidP="008856AB">
            <w:pPr>
              <w:pBdr>
                <w:top w:val="nil"/>
                <w:left w:val="nil"/>
                <w:bottom w:val="nil"/>
                <w:right w:val="nil"/>
                <w:between w:val="nil"/>
              </w:pBdr>
              <w:spacing w:before="0" w:after="0"/>
              <w:ind w:left="0"/>
            </w:pPr>
          </w:p>
          <w:p w14:paraId="4D5760CE" w14:textId="6DF3A48D" w:rsidR="008856AB" w:rsidRDefault="008856AB" w:rsidP="008856AB">
            <w:pPr>
              <w:spacing w:before="0" w:after="0"/>
              <w:ind w:left="0"/>
            </w:pPr>
            <w:r>
              <w:t xml:space="preserve">Costurile eligibile se pot încadra în una sau în mai multe dintre următoarele categorii pentru ajutorul de stat regional: </w:t>
            </w:r>
          </w:p>
          <w:p w14:paraId="2C298EB6" w14:textId="77777777" w:rsidR="008856AB" w:rsidRDefault="008856AB" w:rsidP="008856AB">
            <w:pPr>
              <w:spacing w:before="0" w:after="0"/>
              <w:ind w:left="0"/>
            </w:pPr>
          </w:p>
          <w:p w14:paraId="5154A7B8" w14:textId="77777777" w:rsidR="008856AB" w:rsidRDefault="008856AB" w:rsidP="008856AB">
            <w:pPr>
              <w:spacing w:before="0" w:after="0"/>
              <w:ind w:left="0"/>
            </w:pPr>
            <w:r>
              <w:t xml:space="preserve">(a) costurile investițiilor în active corporale și necorporale; sau </w:t>
            </w:r>
          </w:p>
          <w:p w14:paraId="37B32240" w14:textId="77777777" w:rsidR="008856AB" w:rsidRDefault="008856AB" w:rsidP="008856AB">
            <w:pPr>
              <w:spacing w:before="0" w:after="0"/>
              <w:ind w:left="0"/>
            </w:pPr>
            <w:r>
              <w:t xml:space="preserve">(b) costurile salariale estimate pentru locurile de muncă create în urma unei investiţii iniţiale, calculate pe o perioadă de doi ani; sau </w:t>
            </w:r>
          </w:p>
          <w:p w14:paraId="6E35B402" w14:textId="77777777" w:rsidR="008856AB" w:rsidRDefault="008856AB" w:rsidP="008856AB">
            <w:pPr>
              <w:spacing w:before="0" w:after="0"/>
              <w:ind w:left="0"/>
            </w:pPr>
            <w:r>
              <w:t xml:space="preserve">(c) o combinație a unei părți a costurilor menționate la literele (a) și (b), dar care să nu depășească valoarea de la litera (a) sau (b), în funcție de care dintre acestea este mai mare. </w:t>
            </w:r>
          </w:p>
          <w:p w14:paraId="1D47AADD" w14:textId="77777777" w:rsidR="008856AB" w:rsidRDefault="008856AB" w:rsidP="008856AB">
            <w:pPr>
              <w:spacing w:before="0" w:after="0"/>
              <w:ind w:left="0"/>
            </w:pPr>
          </w:p>
          <w:p w14:paraId="4E9AAC18" w14:textId="77777777" w:rsidR="005057C7" w:rsidRPr="00645D83" w:rsidRDefault="005057C7" w:rsidP="005057C7">
            <w:pPr>
              <w:spacing w:before="0" w:after="0"/>
              <w:ind w:left="0"/>
            </w:pPr>
            <w:r>
              <w:t xml:space="preserve">În cazul în care se optează pentru o combinație a unei părți a costurilor cu investițiile în active corporale și necorporale și costuri salariale, cuantumul bugetat nu poate depăși costul brut aferent  </w:t>
            </w:r>
            <w:r w:rsidRPr="00645D83">
              <w:t>salariului mediu brut utilizat la fundamentarea bugetului asigurărilor sociale de stat pe anul 2023, respectiv de 6.789 lei</w:t>
            </w:r>
            <w:r>
              <w:t>/loc de muncă/lună</w:t>
            </w:r>
            <w:r w:rsidRPr="00645D83">
              <w:t xml:space="preserve">, pentru un număr de 3 de locuri de muncă create pentru investiția inițială pe o perioadă de doi ani. </w:t>
            </w:r>
          </w:p>
          <w:p w14:paraId="6AC28087" w14:textId="77777777" w:rsidR="00843B87" w:rsidRDefault="00843B87" w:rsidP="00843B87">
            <w:pPr>
              <w:pBdr>
                <w:top w:val="nil"/>
                <w:left w:val="nil"/>
                <w:bottom w:val="nil"/>
                <w:right w:val="nil"/>
                <w:between w:val="nil"/>
              </w:pBdr>
              <w:spacing w:before="0" w:after="0"/>
              <w:ind w:left="1080"/>
              <w:rPr>
                <w:color w:val="000000"/>
              </w:rPr>
            </w:pPr>
          </w:p>
          <w:p w14:paraId="27C04FF2" w14:textId="58590931" w:rsidR="008856AB" w:rsidRPr="00843B87" w:rsidRDefault="008856AB" w:rsidP="00843B87">
            <w:pPr>
              <w:pBdr>
                <w:top w:val="nil"/>
                <w:left w:val="nil"/>
                <w:bottom w:val="nil"/>
                <w:right w:val="nil"/>
                <w:between w:val="nil"/>
              </w:pBdr>
              <w:spacing w:before="0" w:after="0"/>
              <w:ind w:left="0"/>
              <w:rPr>
                <w:color w:val="000000"/>
              </w:rPr>
            </w:pPr>
            <w:r>
              <w:rPr>
                <w:color w:val="000000"/>
              </w:rPr>
              <w:lastRenderedPageBreak/>
              <w:t xml:space="preserve">În cazul în care nu sunt prevăzute costuri salariale în cadrul ajutorului de stat regional, pot fi eligibile costuri salariale pentru locurile de muncă asociate investiției inițiale în cadrul ajutorului de minimis, fără a </w:t>
            </w:r>
            <w:r>
              <w:t xml:space="preserve">depăși costul brut aferent </w:t>
            </w:r>
            <w:r w:rsidRPr="00E85FC3">
              <w:t>salariului mediu brut utilizat la fundamentarea bugetului asigurărilor sociale de stat pe anul 2023, respectiv de 6.789 lei, pentru un număr de 3 de locuri de muncă create pentru investiția inițială pe o perioadă de doi ani.</w:t>
            </w:r>
          </w:p>
          <w:p w14:paraId="44F0C396" w14:textId="77777777" w:rsidR="00843B87" w:rsidRDefault="00843B87" w:rsidP="00843B87">
            <w:pPr>
              <w:spacing w:before="0" w:after="160" w:line="259" w:lineRule="auto"/>
              <w:ind w:left="0"/>
              <w:rPr>
                <w:rStyle w:val="spctbdy"/>
                <w:rFonts w:cstheme="minorHAnsi"/>
                <w:color w:val="000000"/>
                <w:bdr w:val="none" w:sz="0" w:space="0" w:color="auto" w:frame="1"/>
                <w:shd w:val="clear" w:color="auto" w:fill="FFFFFF"/>
              </w:rPr>
            </w:pPr>
          </w:p>
          <w:p w14:paraId="15F0EDFF" w14:textId="574C7992" w:rsidR="00843B87" w:rsidRPr="00E7587F" w:rsidRDefault="00843B87" w:rsidP="00843B87">
            <w:pPr>
              <w:spacing w:before="0" w:after="160" w:line="259" w:lineRule="auto"/>
              <w:ind w:left="0"/>
            </w:pPr>
            <w:r>
              <w:rPr>
                <w:rStyle w:val="spctbdy"/>
                <w:rFonts w:cstheme="minorHAnsi"/>
                <w:color w:val="000000"/>
                <w:bdr w:val="none" w:sz="0" w:space="0" w:color="auto" w:frame="1"/>
                <w:shd w:val="clear" w:color="auto" w:fill="FFFFFF"/>
              </w:rPr>
              <w:t>B</w:t>
            </w:r>
            <w:r w:rsidRPr="00843B87">
              <w:rPr>
                <w:rStyle w:val="spctbdy"/>
                <w:rFonts w:cstheme="minorHAnsi"/>
                <w:color w:val="000000"/>
                <w:bdr w:val="none" w:sz="0" w:space="0" w:color="auto" w:frame="1"/>
                <w:shd w:val="clear" w:color="auto" w:fill="FFFFFF"/>
              </w:rPr>
              <w:t xml:space="preserve">ugetul estimat alocat activității </w:t>
            </w:r>
            <w:r>
              <w:rPr>
                <w:rStyle w:val="spctbdy"/>
                <w:rFonts w:cstheme="minorHAnsi"/>
                <w:color w:val="000000"/>
                <w:bdr w:val="none" w:sz="0" w:space="0" w:color="auto" w:frame="1"/>
                <w:shd w:val="clear" w:color="auto" w:fill="FFFFFF"/>
              </w:rPr>
              <w:t>d</w:t>
            </w:r>
            <w:r>
              <w:rPr>
                <w:rStyle w:val="spctbdy"/>
                <w:rFonts w:cstheme="minorHAnsi"/>
                <w:bdr w:val="none" w:sz="0" w:space="0" w:color="auto" w:frame="1"/>
                <w:shd w:val="clear" w:color="auto" w:fill="FFFFFF"/>
              </w:rPr>
              <w:t xml:space="preserve">e baza </w:t>
            </w:r>
            <w:r w:rsidRPr="00843B87">
              <w:rPr>
                <w:rStyle w:val="spctbdy"/>
                <w:rFonts w:cstheme="minorHAnsi"/>
                <w:color w:val="000000"/>
                <w:bdr w:val="none" w:sz="0" w:space="0" w:color="auto" w:frame="1"/>
                <w:shd w:val="clear" w:color="auto" w:fill="FFFFFF"/>
              </w:rPr>
              <w:t xml:space="preserve">sau pachetului de activități </w:t>
            </w:r>
            <w:r>
              <w:rPr>
                <w:rStyle w:val="spctbdy"/>
                <w:rFonts w:cstheme="minorHAnsi"/>
                <w:color w:val="000000"/>
                <w:bdr w:val="none" w:sz="0" w:space="0" w:color="auto" w:frame="1"/>
                <w:shd w:val="clear" w:color="auto" w:fill="FFFFFF"/>
              </w:rPr>
              <w:t>d</w:t>
            </w:r>
            <w:r>
              <w:rPr>
                <w:rStyle w:val="spctbdy"/>
                <w:rFonts w:cstheme="minorHAnsi"/>
                <w:bdr w:val="none" w:sz="0" w:space="0" w:color="auto" w:frame="1"/>
                <w:shd w:val="clear" w:color="auto" w:fill="FFFFFF"/>
              </w:rPr>
              <w:t xml:space="preserve">e baza </w:t>
            </w:r>
            <w:r w:rsidRPr="00843B87">
              <w:rPr>
                <w:rStyle w:val="spctbdy"/>
                <w:rFonts w:cstheme="minorHAnsi"/>
                <w:color w:val="000000"/>
                <w:bdr w:val="none" w:sz="0" w:space="0" w:color="auto" w:frame="1"/>
                <w:shd w:val="clear" w:color="auto" w:fill="FFFFFF"/>
              </w:rPr>
              <w:t>reprezintă minimum 50% din bugetul eligibil al proiectului;</w:t>
            </w:r>
            <w:r>
              <w:rPr>
                <w:rStyle w:val="spctbdy"/>
                <w:rFonts w:cstheme="minorHAnsi"/>
                <w:color w:val="000000"/>
                <w:bdr w:val="none" w:sz="0" w:space="0" w:color="auto" w:frame="1"/>
                <w:shd w:val="clear" w:color="auto" w:fill="FFFFFF"/>
              </w:rPr>
              <w:t xml:space="preserve"> </w:t>
            </w:r>
            <w:bookmarkStart w:id="1" w:name="_Hlk143076539"/>
            <w:r>
              <w:rPr>
                <w:rStyle w:val="spctbdy"/>
                <w:rFonts w:cstheme="minorHAnsi"/>
                <w:color w:val="000000"/>
                <w:bdr w:val="none" w:sz="0" w:space="0" w:color="auto" w:frame="1"/>
                <w:shd w:val="clear" w:color="auto" w:fill="FFFFFF"/>
              </w:rPr>
              <w:t>A</w:t>
            </w:r>
            <w:r w:rsidRPr="00E7587F">
              <w:t>ctivitatea de bază va include investiții în active corporale finanțabile prin ajutor de stat regional</w:t>
            </w:r>
            <w:bookmarkEnd w:id="1"/>
            <w:r w:rsidRPr="00E7587F">
              <w:t xml:space="preserve">, așa cum sunt menționate la </w:t>
            </w:r>
            <w:r w:rsidRPr="00E7587F">
              <w:rPr>
                <w:b/>
                <w:bCs/>
                <w:color w:val="0070C0"/>
              </w:rPr>
              <w:t>secțiunea 5.4.2</w:t>
            </w:r>
            <w:r w:rsidRPr="00E7587F">
              <w:t>, punctul a) Investiții în active corporale.</w:t>
            </w:r>
          </w:p>
          <w:p w14:paraId="7D4531A6" w14:textId="77777777" w:rsidR="00843B87" w:rsidRPr="00843B87" w:rsidRDefault="00843B87" w:rsidP="00843B87">
            <w:pPr>
              <w:pBdr>
                <w:top w:val="nil"/>
                <w:left w:val="nil"/>
                <w:bottom w:val="nil"/>
                <w:right w:val="nil"/>
                <w:between w:val="nil"/>
              </w:pBdr>
              <w:spacing w:before="0" w:after="0"/>
              <w:rPr>
                <w:color w:val="000000"/>
              </w:rPr>
            </w:pPr>
          </w:p>
          <w:p w14:paraId="4B231B22" w14:textId="343FAC30" w:rsidR="006D0990" w:rsidRPr="006D0990" w:rsidRDefault="006D0990" w:rsidP="006D0990">
            <w:pPr>
              <w:ind w:left="0"/>
              <w:rPr>
                <w:rFonts w:asciiTheme="minorHAnsi" w:hAnsiTheme="minorHAnsi" w:cstheme="minorHAnsi"/>
              </w:rPr>
            </w:pPr>
            <w:bookmarkStart w:id="2" w:name="_Hlk143373219"/>
            <w:r w:rsidRPr="006D0990">
              <w:rPr>
                <w:rFonts w:asciiTheme="minorHAnsi" w:hAnsiTheme="minorHAnsi" w:cstheme="minorHAnsi"/>
              </w:rPr>
              <w:t xml:space="preserve">Dacă proiectul include cheltuieli cu serviciile de consultanță finanțabile prin ajutor de minimis, valoarea eligibilă nu poate depăși </w:t>
            </w:r>
            <w:r w:rsidR="006D05CF">
              <w:rPr>
                <w:rFonts w:asciiTheme="minorHAnsi" w:hAnsiTheme="minorHAnsi" w:cstheme="minorHAnsi"/>
              </w:rPr>
              <w:t>7</w:t>
            </w:r>
            <w:r w:rsidRPr="006D0990">
              <w:rPr>
                <w:rFonts w:asciiTheme="minorHAnsi" w:hAnsiTheme="minorHAnsi" w:cstheme="minorHAnsi"/>
              </w:rPr>
              <w:t>% din valoarea eligibilă totală a investiției.</w:t>
            </w:r>
          </w:p>
          <w:bookmarkEnd w:id="2"/>
          <w:p w14:paraId="3DB4F192" w14:textId="453BCC04" w:rsidR="008856AB" w:rsidRPr="0031391F" w:rsidRDefault="008856AB" w:rsidP="00D120FE">
            <w:pPr>
              <w:ind w:left="0"/>
            </w:pPr>
          </w:p>
        </w:tc>
        <w:tc>
          <w:tcPr>
            <w:tcW w:w="1179" w:type="dxa"/>
          </w:tcPr>
          <w:p w14:paraId="61A43F2F" w14:textId="77777777" w:rsidR="00CF1990" w:rsidRPr="0031391F" w:rsidRDefault="00CF1990" w:rsidP="00CF1990">
            <w:pPr>
              <w:ind w:left="0"/>
            </w:pPr>
          </w:p>
        </w:tc>
        <w:tc>
          <w:tcPr>
            <w:tcW w:w="5276" w:type="dxa"/>
          </w:tcPr>
          <w:p w14:paraId="7518E369" w14:textId="6D08BBA6" w:rsidR="00CF1990" w:rsidRPr="0031391F" w:rsidRDefault="00CF1990" w:rsidP="008856AB">
            <w:pPr>
              <w:ind w:left="0"/>
            </w:pPr>
          </w:p>
        </w:tc>
      </w:tr>
      <w:tr w:rsidR="00CF1990" w:rsidRPr="0031391F" w14:paraId="74B56615" w14:textId="0DD9DC81" w:rsidTr="0090527E">
        <w:tc>
          <w:tcPr>
            <w:tcW w:w="693" w:type="dxa"/>
          </w:tcPr>
          <w:p w14:paraId="062F459E" w14:textId="35711600" w:rsidR="00CF1990" w:rsidRPr="0031391F" w:rsidRDefault="00E15039" w:rsidP="00CF1990">
            <w:pPr>
              <w:ind w:left="0"/>
              <w:jc w:val="center"/>
            </w:pPr>
            <w:r w:rsidRPr="0031391F">
              <w:t>3</w:t>
            </w:r>
          </w:p>
        </w:tc>
        <w:tc>
          <w:tcPr>
            <w:tcW w:w="6869" w:type="dxa"/>
          </w:tcPr>
          <w:p w14:paraId="5E8E63F0" w14:textId="4A4DC21E" w:rsidR="00321FC1" w:rsidRPr="0031391F" w:rsidRDefault="0037350D" w:rsidP="00321FC1">
            <w:pPr>
              <w:ind w:left="0"/>
            </w:pPr>
            <w:r w:rsidRPr="0031391F">
              <w:t>Investiția ce face obiectul cererii de finanțare nu constă în simpla înlocuire a unor active</w:t>
            </w:r>
          </w:p>
        </w:tc>
        <w:tc>
          <w:tcPr>
            <w:tcW w:w="1179" w:type="dxa"/>
          </w:tcPr>
          <w:p w14:paraId="179CC81B" w14:textId="77777777" w:rsidR="00CF1990" w:rsidRPr="0031391F" w:rsidRDefault="00CF1990" w:rsidP="00CF1990">
            <w:pPr>
              <w:ind w:left="0"/>
            </w:pPr>
          </w:p>
        </w:tc>
        <w:tc>
          <w:tcPr>
            <w:tcW w:w="5276" w:type="dxa"/>
          </w:tcPr>
          <w:p w14:paraId="79ECED25" w14:textId="4637689E" w:rsidR="00CF1990" w:rsidRPr="0031391F" w:rsidRDefault="00CF1990" w:rsidP="00321FC1">
            <w:pPr>
              <w:ind w:left="0"/>
            </w:pPr>
          </w:p>
        </w:tc>
      </w:tr>
      <w:tr w:rsidR="00CF1990" w:rsidRPr="0031391F" w14:paraId="0D2150ED" w14:textId="11528BB2" w:rsidTr="0090527E">
        <w:tc>
          <w:tcPr>
            <w:tcW w:w="693" w:type="dxa"/>
          </w:tcPr>
          <w:p w14:paraId="0EDEF545" w14:textId="0F8447A5" w:rsidR="00CF1990" w:rsidRPr="0031391F" w:rsidRDefault="0037350D" w:rsidP="00CF1990">
            <w:pPr>
              <w:ind w:left="0"/>
              <w:jc w:val="center"/>
            </w:pPr>
            <w:r w:rsidRPr="0031391F">
              <w:t>4</w:t>
            </w:r>
          </w:p>
        </w:tc>
        <w:tc>
          <w:tcPr>
            <w:tcW w:w="6869" w:type="dxa"/>
          </w:tcPr>
          <w:p w14:paraId="1A7415E3" w14:textId="7312A36A" w:rsidR="00CF1990" w:rsidRPr="0031391F" w:rsidRDefault="0037350D" w:rsidP="00CF1990">
            <w:pPr>
              <w:ind w:left="0"/>
            </w:pPr>
            <w:r w:rsidRPr="0031391F">
              <w:t>Cererea de finanțare nu include activităţi care au facut sau ar fi trebuit să facă obiectul unei proceduri de recuperare în urma transferului unei activităţi de producţie în afara zonei vizate de program</w:t>
            </w:r>
          </w:p>
        </w:tc>
        <w:tc>
          <w:tcPr>
            <w:tcW w:w="1179" w:type="dxa"/>
          </w:tcPr>
          <w:p w14:paraId="72785351" w14:textId="77777777" w:rsidR="00CF1990" w:rsidRPr="0031391F" w:rsidRDefault="00CF1990" w:rsidP="00CF1990">
            <w:pPr>
              <w:ind w:left="0"/>
            </w:pPr>
          </w:p>
        </w:tc>
        <w:tc>
          <w:tcPr>
            <w:tcW w:w="5276" w:type="dxa"/>
          </w:tcPr>
          <w:p w14:paraId="26C5EAD5" w14:textId="77777777" w:rsidR="00CF1990" w:rsidRPr="0031391F" w:rsidRDefault="00CF1990" w:rsidP="00CF1990">
            <w:pPr>
              <w:ind w:left="0"/>
            </w:pPr>
          </w:p>
        </w:tc>
      </w:tr>
      <w:tr w:rsidR="00CF1990" w:rsidRPr="0031391F" w14:paraId="288A536F" w14:textId="2B94F771" w:rsidTr="0090527E">
        <w:tc>
          <w:tcPr>
            <w:tcW w:w="693" w:type="dxa"/>
          </w:tcPr>
          <w:p w14:paraId="53E02991" w14:textId="16068824" w:rsidR="00CF1990" w:rsidRPr="0031391F" w:rsidRDefault="0037350D" w:rsidP="00CF1990">
            <w:pPr>
              <w:ind w:left="0"/>
              <w:jc w:val="center"/>
            </w:pPr>
            <w:r w:rsidRPr="0031391F">
              <w:t>5</w:t>
            </w:r>
          </w:p>
        </w:tc>
        <w:tc>
          <w:tcPr>
            <w:tcW w:w="6869" w:type="dxa"/>
          </w:tcPr>
          <w:p w14:paraId="59A77159" w14:textId="6D557910" w:rsidR="00CF1990" w:rsidRPr="0031391F" w:rsidRDefault="0037350D" w:rsidP="00CF1990">
            <w:pPr>
              <w:ind w:left="0"/>
            </w:pPr>
            <w:r w:rsidRPr="0031391F">
              <w:t>P</w:t>
            </w:r>
            <w:r w:rsidR="00CF1990" w:rsidRPr="0031391F">
              <w:t xml:space="preserve">entru proiecte care implică execuţia de lucrări de construcţii, indiferent dacă se supun sau nu autorizării – Proiectul propus prin cererea de finanţare nu a mai beneficiat de finanţare publică în ultimii 5 ani înainte de data depunerii cererii de finanţare, pentru acelaşi tip de activităţi (construcţie/ extindere) realizate asupra aceleiaşi infrastructuri/ aceluiaşi </w:t>
            </w:r>
            <w:r w:rsidR="00CF1990" w:rsidRPr="0031391F">
              <w:lastRenderedPageBreak/>
              <w:t>segment de infrastructură şi nu beneficiază de fonduri publi</w:t>
            </w:r>
            <w:r w:rsidRPr="0031391F">
              <w:t>ce din alte surse de finanţare</w:t>
            </w:r>
          </w:p>
        </w:tc>
        <w:tc>
          <w:tcPr>
            <w:tcW w:w="1179" w:type="dxa"/>
          </w:tcPr>
          <w:p w14:paraId="07B43CBA" w14:textId="77777777" w:rsidR="00CF1990" w:rsidRPr="0031391F" w:rsidRDefault="00CF1990" w:rsidP="00CF1990">
            <w:pPr>
              <w:ind w:left="0"/>
            </w:pPr>
          </w:p>
        </w:tc>
        <w:tc>
          <w:tcPr>
            <w:tcW w:w="5276" w:type="dxa"/>
          </w:tcPr>
          <w:p w14:paraId="0CE56266" w14:textId="77777777" w:rsidR="00CF1990" w:rsidRPr="0031391F" w:rsidRDefault="00CF1990" w:rsidP="00CF1990">
            <w:pPr>
              <w:ind w:left="0"/>
            </w:pPr>
          </w:p>
        </w:tc>
      </w:tr>
      <w:tr w:rsidR="00CF1990" w:rsidRPr="0031391F" w14:paraId="769614DB" w14:textId="56FCAD4F" w:rsidTr="0090527E">
        <w:tc>
          <w:tcPr>
            <w:tcW w:w="693" w:type="dxa"/>
          </w:tcPr>
          <w:p w14:paraId="19736F28" w14:textId="338C8A28" w:rsidR="00CF1990" w:rsidRPr="0031391F" w:rsidRDefault="0037350D" w:rsidP="00CF1990">
            <w:pPr>
              <w:ind w:left="0"/>
              <w:jc w:val="center"/>
            </w:pPr>
            <w:r w:rsidRPr="0031391F">
              <w:t>6</w:t>
            </w:r>
          </w:p>
        </w:tc>
        <w:tc>
          <w:tcPr>
            <w:tcW w:w="6869" w:type="dxa"/>
          </w:tcPr>
          <w:p w14:paraId="7C7C1CC2" w14:textId="34701C56" w:rsidR="00CF1990" w:rsidRPr="0031391F" w:rsidRDefault="00CF1990" w:rsidP="00CF1990">
            <w:pPr>
              <w:ind w:left="0"/>
            </w:pPr>
            <w:r w:rsidRPr="0031391F">
              <w:t xml:space="preserve">Unitatea de producție/ prestare servicii ce face obiectul investiției propuse prin cererea de finanțare este localizată în zona </w:t>
            </w:r>
            <w:r w:rsidR="00AB081B" w:rsidRPr="0031391F">
              <w:t>vizată de apel</w:t>
            </w:r>
          </w:p>
        </w:tc>
        <w:tc>
          <w:tcPr>
            <w:tcW w:w="1179" w:type="dxa"/>
          </w:tcPr>
          <w:p w14:paraId="40682667" w14:textId="77777777" w:rsidR="00CF1990" w:rsidRPr="0031391F" w:rsidRDefault="00CF1990" w:rsidP="00CF1990">
            <w:pPr>
              <w:ind w:left="0"/>
            </w:pPr>
          </w:p>
        </w:tc>
        <w:tc>
          <w:tcPr>
            <w:tcW w:w="5276" w:type="dxa"/>
          </w:tcPr>
          <w:p w14:paraId="369189C4" w14:textId="77777777" w:rsidR="00CF1990" w:rsidRPr="0031391F" w:rsidRDefault="00CF1990" w:rsidP="00CF1990">
            <w:pPr>
              <w:ind w:left="0"/>
            </w:pPr>
          </w:p>
        </w:tc>
      </w:tr>
      <w:tr w:rsidR="00CF1990" w:rsidRPr="0031391F" w14:paraId="4DE53376" w14:textId="085EE46C" w:rsidTr="0090527E">
        <w:tc>
          <w:tcPr>
            <w:tcW w:w="693" w:type="dxa"/>
          </w:tcPr>
          <w:p w14:paraId="15EDA16D" w14:textId="7FC16729" w:rsidR="00CF1990" w:rsidRPr="0031391F" w:rsidRDefault="0037350D" w:rsidP="00CF1990">
            <w:pPr>
              <w:ind w:left="0"/>
              <w:jc w:val="center"/>
            </w:pPr>
            <w:r w:rsidRPr="0031391F">
              <w:t>7</w:t>
            </w:r>
          </w:p>
        </w:tc>
        <w:tc>
          <w:tcPr>
            <w:tcW w:w="6869" w:type="dxa"/>
          </w:tcPr>
          <w:p w14:paraId="5856A265" w14:textId="238F7857" w:rsidR="00CF1990" w:rsidRPr="0031391F" w:rsidRDefault="00CF1990" w:rsidP="00CF1990">
            <w:pPr>
              <w:ind w:left="0"/>
            </w:pPr>
            <w:r w:rsidRPr="0031391F">
              <w:t xml:space="preserve">Solicitantul are locul de implementare a proiectului înregistrat ca sediu principal sau secundar, cu excepția cazului în care cererea de finanțare presupune înființarea unui sediu secundar ca </w:t>
            </w:r>
            <w:r w:rsidR="00AB081B" w:rsidRPr="0031391F">
              <w:t>urmare a realizării investiției</w:t>
            </w:r>
          </w:p>
        </w:tc>
        <w:tc>
          <w:tcPr>
            <w:tcW w:w="1179" w:type="dxa"/>
          </w:tcPr>
          <w:p w14:paraId="0EA0E7B1" w14:textId="77777777" w:rsidR="00CF1990" w:rsidRPr="0031391F" w:rsidRDefault="00CF1990" w:rsidP="00CF1990">
            <w:pPr>
              <w:ind w:left="0"/>
            </w:pPr>
          </w:p>
        </w:tc>
        <w:tc>
          <w:tcPr>
            <w:tcW w:w="5276" w:type="dxa"/>
          </w:tcPr>
          <w:p w14:paraId="3B6DA9E6" w14:textId="77777777" w:rsidR="00CF1990" w:rsidRPr="0031391F" w:rsidRDefault="00CF1990" w:rsidP="00CF1990">
            <w:pPr>
              <w:ind w:left="0"/>
            </w:pPr>
          </w:p>
        </w:tc>
      </w:tr>
      <w:tr w:rsidR="00CF1990" w:rsidRPr="0031391F" w14:paraId="3883273B" w14:textId="791BABE7" w:rsidTr="0090527E">
        <w:tc>
          <w:tcPr>
            <w:tcW w:w="693" w:type="dxa"/>
          </w:tcPr>
          <w:p w14:paraId="21BB2A6F" w14:textId="5FC4214B" w:rsidR="00CF1990" w:rsidRPr="0031391F" w:rsidRDefault="0037350D" w:rsidP="00CF1990">
            <w:pPr>
              <w:ind w:left="0"/>
              <w:jc w:val="center"/>
            </w:pPr>
            <w:r w:rsidRPr="0031391F">
              <w:t>8</w:t>
            </w:r>
          </w:p>
        </w:tc>
        <w:tc>
          <w:tcPr>
            <w:tcW w:w="6869" w:type="dxa"/>
          </w:tcPr>
          <w:p w14:paraId="2457A8A9" w14:textId="5C607961" w:rsidR="00CF1990" w:rsidRPr="0031391F" w:rsidRDefault="00CF1990" w:rsidP="00CF1990">
            <w:pPr>
              <w:ind w:left="0"/>
            </w:pPr>
            <w:r w:rsidRPr="0031391F">
              <w:t>Conform declarației unice, locul de implementare este adecva</w:t>
            </w:r>
            <w:r w:rsidR="00AB081B" w:rsidRPr="0031391F">
              <w:t>t pentru realizarea proiectului</w:t>
            </w:r>
          </w:p>
        </w:tc>
        <w:tc>
          <w:tcPr>
            <w:tcW w:w="1179" w:type="dxa"/>
          </w:tcPr>
          <w:p w14:paraId="51EE280C" w14:textId="77777777" w:rsidR="00CF1990" w:rsidRPr="0031391F" w:rsidRDefault="00CF1990" w:rsidP="00CF1990">
            <w:pPr>
              <w:ind w:left="0"/>
            </w:pPr>
          </w:p>
        </w:tc>
        <w:tc>
          <w:tcPr>
            <w:tcW w:w="5276" w:type="dxa"/>
          </w:tcPr>
          <w:p w14:paraId="359EA478" w14:textId="77777777" w:rsidR="00CF1990" w:rsidRPr="0031391F" w:rsidRDefault="00CF1990" w:rsidP="00CF1990">
            <w:pPr>
              <w:ind w:left="0"/>
            </w:pPr>
          </w:p>
        </w:tc>
      </w:tr>
      <w:tr w:rsidR="00CF1990" w:rsidRPr="0031391F" w14:paraId="7B0F32F1" w14:textId="22186AA2" w:rsidTr="0090527E">
        <w:tc>
          <w:tcPr>
            <w:tcW w:w="693" w:type="dxa"/>
          </w:tcPr>
          <w:p w14:paraId="4A754E18" w14:textId="3B874064" w:rsidR="00CF1990" w:rsidRPr="0031391F" w:rsidRDefault="0037350D" w:rsidP="00CF1990">
            <w:pPr>
              <w:ind w:left="0"/>
              <w:jc w:val="center"/>
            </w:pPr>
            <w:r w:rsidRPr="0031391F">
              <w:t>9</w:t>
            </w:r>
          </w:p>
        </w:tc>
        <w:tc>
          <w:tcPr>
            <w:tcW w:w="6869" w:type="dxa"/>
          </w:tcPr>
          <w:p w14:paraId="1141BFCB" w14:textId="2B391DDB" w:rsidR="00CF1990" w:rsidRPr="0031391F" w:rsidRDefault="00CF1990" w:rsidP="00CF1990">
            <w:pPr>
              <w:ind w:left="0"/>
            </w:pPr>
            <w:r w:rsidRPr="0031391F">
              <w:t xml:space="preserve">Valoarea finanțării nerambursabile solicitate se încadrează în limitele minime și maxime </w:t>
            </w:r>
            <w:r w:rsidR="00AB081B" w:rsidRPr="0031391F">
              <w:t>aplicabile apelului de proiecte</w:t>
            </w:r>
          </w:p>
        </w:tc>
        <w:tc>
          <w:tcPr>
            <w:tcW w:w="1179" w:type="dxa"/>
          </w:tcPr>
          <w:p w14:paraId="226796C1" w14:textId="77777777" w:rsidR="00CF1990" w:rsidRPr="0031391F" w:rsidRDefault="00CF1990" w:rsidP="00CF1990">
            <w:pPr>
              <w:ind w:left="0"/>
            </w:pPr>
          </w:p>
        </w:tc>
        <w:tc>
          <w:tcPr>
            <w:tcW w:w="5276" w:type="dxa"/>
          </w:tcPr>
          <w:p w14:paraId="1DBF96EE" w14:textId="77777777" w:rsidR="00CF1990" w:rsidRPr="0031391F" w:rsidRDefault="00CF1990" w:rsidP="00CF1990">
            <w:pPr>
              <w:ind w:left="0"/>
            </w:pPr>
          </w:p>
        </w:tc>
      </w:tr>
      <w:tr w:rsidR="00CF1990" w:rsidRPr="0031391F" w14:paraId="6FA8F9DB" w14:textId="5A0DE647" w:rsidTr="0090527E">
        <w:tc>
          <w:tcPr>
            <w:tcW w:w="693" w:type="dxa"/>
          </w:tcPr>
          <w:p w14:paraId="22496608" w14:textId="5116EE28" w:rsidR="00CF1990" w:rsidRPr="0031391F" w:rsidRDefault="0037350D" w:rsidP="00CF1990">
            <w:pPr>
              <w:ind w:left="0"/>
              <w:jc w:val="center"/>
            </w:pPr>
            <w:r w:rsidRPr="0031391F">
              <w:t>10</w:t>
            </w:r>
          </w:p>
        </w:tc>
        <w:tc>
          <w:tcPr>
            <w:tcW w:w="6869" w:type="dxa"/>
          </w:tcPr>
          <w:p w14:paraId="74DC0A55" w14:textId="1B68CAD9" w:rsidR="00CF1990" w:rsidRPr="0031391F" w:rsidRDefault="00CF1990" w:rsidP="00CF1990">
            <w:pPr>
              <w:ind w:left="0"/>
            </w:pPr>
            <w:r w:rsidRPr="0031391F">
              <w:t>Conform declarației unice, dacă solicitantul ajutorului (la nivel de grup) a beneficiat de ajutor de stat regional pentru o investiție demarată în același județ, în ultimii trei ani (i.e. proiect unic de investiții), valoarea totală a ajutoarelor pentru proiectul unic de investiții nu depășește valoarea ajutorului ajustat pentru proiecte mari de investiții, în conformitate cu prevederile Regulamentului (UE) nr. 651/2014 al Comisiei Europene din 17 iunie 2014 de declarare a anumitor categorii de ajutoare compatibile cu piața internă în aplicarea articolelor 107 și 108 din tratat, cu modifică</w:t>
            </w:r>
            <w:r w:rsidR="0037350D" w:rsidRPr="0031391F">
              <w:t>rile şi completările ulterioare</w:t>
            </w:r>
          </w:p>
        </w:tc>
        <w:tc>
          <w:tcPr>
            <w:tcW w:w="1179" w:type="dxa"/>
          </w:tcPr>
          <w:p w14:paraId="38855F62" w14:textId="77777777" w:rsidR="00CF1990" w:rsidRPr="0031391F" w:rsidRDefault="00CF1990" w:rsidP="00CF1990">
            <w:pPr>
              <w:ind w:left="0"/>
            </w:pPr>
          </w:p>
        </w:tc>
        <w:tc>
          <w:tcPr>
            <w:tcW w:w="5276" w:type="dxa"/>
          </w:tcPr>
          <w:p w14:paraId="62480603" w14:textId="77777777" w:rsidR="00CF1990" w:rsidRPr="0031391F" w:rsidRDefault="00CF1990" w:rsidP="00CF1990">
            <w:pPr>
              <w:ind w:left="0"/>
            </w:pPr>
          </w:p>
        </w:tc>
      </w:tr>
      <w:tr w:rsidR="00CF1990" w:rsidRPr="0031391F" w14:paraId="4DA11D01" w14:textId="001B813A" w:rsidTr="0090527E">
        <w:tc>
          <w:tcPr>
            <w:tcW w:w="693" w:type="dxa"/>
          </w:tcPr>
          <w:p w14:paraId="1CB51E60" w14:textId="603BE85F" w:rsidR="00CF1990" w:rsidRPr="0031391F" w:rsidRDefault="0037350D" w:rsidP="00CF1990">
            <w:pPr>
              <w:ind w:left="0"/>
              <w:jc w:val="center"/>
            </w:pPr>
            <w:r w:rsidRPr="0031391F">
              <w:t>11</w:t>
            </w:r>
          </w:p>
        </w:tc>
        <w:tc>
          <w:tcPr>
            <w:tcW w:w="6869" w:type="dxa"/>
          </w:tcPr>
          <w:p w14:paraId="6B5B050A" w14:textId="2C4538A6" w:rsidR="00CF1990" w:rsidRPr="0031391F" w:rsidRDefault="00CF1990" w:rsidP="00CF1990">
            <w:pPr>
              <w:ind w:left="0"/>
            </w:pPr>
            <w:r w:rsidRPr="0031391F">
              <w:t>Intensitatea ajutorului de stat regional nu depășește limita maximă aplicabilă categoriei de IMM și apelului în cadrul căruia este depusă cererea de finanțare, potrivit preve</w:t>
            </w:r>
            <w:r w:rsidR="0037350D" w:rsidRPr="0031391F">
              <w:t>derilor Ghidului solicitantului</w:t>
            </w:r>
          </w:p>
        </w:tc>
        <w:tc>
          <w:tcPr>
            <w:tcW w:w="1179" w:type="dxa"/>
          </w:tcPr>
          <w:p w14:paraId="1DDD4B5E" w14:textId="77777777" w:rsidR="00CF1990" w:rsidRPr="0031391F" w:rsidRDefault="00CF1990" w:rsidP="00CF1990">
            <w:pPr>
              <w:ind w:left="0"/>
            </w:pPr>
          </w:p>
        </w:tc>
        <w:tc>
          <w:tcPr>
            <w:tcW w:w="5276" w:type="dxa"/>
          </w:tcPr>
          <w:p w14:paraId="3A394345" w14:textId="77777777" w:rsidR="00CF1990" w:rsidRPr="0031391F" w:rsidRDefault="00CF1990" w:rsidP="00CF1990">
            <w:pPr>
              <w:ind w:left="0"/>
            </w:pPr>
          </w:p>
        </w:tc>
      </w:tr>
      <w:tr w:rsidR="00CF1990" w:rsidRPr="0031391F" w14:paraId="1A76FD9E" w14:textId="41D6868F" w:rsidTr="0090527E">
        <w:tc>
          <w:tcPr>
            <w:tcW w:w="693" w:type="dxa"/>
          </w:tcPr>
          <w:p w14:paraId="3A298DB1" w14:textId="06B4B982" w:rsidR="00CF1990" w:rsidRPr="0031391F" w:rsidRDefault="0037350D" w:rsidP="00CF1990">
            <w:pPr>
              <w:ind w:left="0"/>
              <w:jc w:val="center"/>
            </w:pPr>
            <w:r w:rsidRPr="0031391F">
              <w:t>12</w:t>
            </w:r>
          </w:p>
        </w:tc>
        <w:tc>
          <w:tcPr>
            <w:tcW w:w="6869" w:type="dxa"/>
          </w:tcPr>
          <w:p w14:paraId="672D87AE" w14:textId="055F83A0" w:rsidR="00CF1990" w:rsidRPr="0031391F" w:rsidRDefault="00CF1990" w:rsidP="00CF1990">
            <w:pPr>
              <w:ind w:left="0"/>
            </w:pPr>
            <w:r w:rsidRPr="0031391F">
              <w:t>Intensitatea ajutorului de minimis nu depășește limita maximă aplicabilă, potrivit preve</w:t>
            </w:r>
            <w:r w:rsidR="0037350D" w:rsidRPr="0031391F">
              <w:t>derilor Ghidului solicitantului</w:t>
            </w:r>
          </w:p>
        </w:tc>
        <w:tc>
          <w:tcPr>
            <w:tcW w:w="1179" w:type="dxa"/>
          </w:tcPr>
          <w:p w14:paraId="58BB09E2" w14:textId="77777777" w:rsidR="00CF1990" w:rsidRPr="0031391F" w:rsidRDefault="00CF1990" w:rsidP="00CF1990">
            <w:pPr>
              <w:ind w:left="0"/>
            </w:pPr>
          </w:p>
        </w:tc>
        <w:tc>
          <w:tcPr>
            <w:tcW w:w="5276" w:type="dxa"/>
          </w:tcPr>
          <w:p w14:paraId="5DF4F1AA" w14:textId="77777777" w:rsidR="00CF1990" w:rsidRPr="0031391F" w:rsidRDefault="00CF1990" w:rsidP="00CF1990">
            <w:pPr>
              <w:ind w:left="0"/>
            </w:pPr>
          </w:p>
        </w:tc>
      </w:tr>
      <w:tr w:rsidR="00CF1990" w:rsidRPr="0031391F" w14:paraId="36962EA5" w14:textId="18E7FF2C" w:rsidTr="0090527E">
        <w:tc>
          <w:tcPr>
            <w:tcW w:w="693" w:type="dxa"/>
          </w:tcPr>
          <w:p w14:paraId="1D6F6894" w14:textId="5D56298E" w:rsidR="00CF1990" w:rsidRPr="0031391F" w:rsidRDefault="00B3474B" w:rsidP="00CF1990">
            <w:pPr>
              <w:ind w:left="0"/>
              <w:jc w:val="center"/>
            </w:pPr>
            <w:r w:rsidRPr="0031391F">
              <w:t>13</w:t>
            </w:r>
          </w:p>
        </w:tc>
        <w:tc>
          <w:tcPr>
            <w:tcW w:w="6869" w:type="dxa"/>
          </w:tcPr>
          <w:p w14:paraId="560BC497" w14:textId="7C9CCFD4" w:rsidR="00CF1990" w:rsidRPr="0031391F" w:rsidRDefault="00CF1990" w:rsidP="00CF1990">
            <w:pPr>
              <w:ind w:left="0"/>
            </w:pPr>
            <w:r w:rsidRPr="0031391F">
              <w:t xml:space="preserve">Dacă proiectul presupune realizarea unei investiții inițiale legate de diversificarea unei unități existente, costurile eligibile finanțabile prin </w:t>
            </w:r>
            <w:r w:rsidRPr="0031391F">
              <w:lastRenderedPageBreak/>
              <w:t>ajutor regional depășesc cu cel puțin 200% valoarea contabilă a activelor reutilizate, astfel cum au fost înregistrate în exercițiul financiar c</w:t>
            </w:r>
            <w:r w:rsidR="00B3474B" w:rsidRPr="0031391F">
              <w:t>e precede începerea lucrărilor</w:t>
            </w:r>
          </w:p>
        </w:tc>
        <w:tc>
          <w:tcPr>
            <w:tcW w:w="1179" w:type="dxa"/>
          </w:tcPr>
          <w:p w14:paraId="1C81B1FE" w14:textId="77777777" w:rsidR="00CF1990" w:rsidRPr="0031391F" w:rsidRDefault="00CF1990" w:rsidP="00CF1990">
            <w:pPr>
              <w:ind w:left="0"/>
            </w:pPr>
          </w:p>
        </w:tc>
        <w:tc>
          <w:tcPr>
            <w:tcW w:w="5276" w:type="dxa"/>
          </w:tcPr>
          <w:p w14:paraId="1734EA7E" w14:textId="77777777" w:rsidR="00CF1990" w:rsidRPr="0031391F" w:rsidRDefault="00CF1990" w:rsidP="00CF1990">
            <w:pPr>
              <w:ind w:left="0"/>
            </w:pPr>
          </w:p>
        </w:tc>
      </w:tr>
      <w:tr w:rsidR="00CF1990" w:rsidRPr="0031391F" w14:paraId="40D95179" w14:textId="64149D64" w:rsidTr="0090527E">
        <w:tc>
          <w:tcPr>
            <w:tcW w:w="693" w:type="dxa"/>
          </w:tcPr>
          <w:p w14:paraId="5E44E7AD" w14:textId="2BC82CC9" w:rsidR="00CF1990" w:rsidRPr="0031391F" w:rsidRDefault="00B3474B" w:rsidP="00CF1990">
            <w:pPr>
              <w:ind w:left="0"/>
              <w:jc w:val="center"/>
            </w:pPr>
            <w:r w:rsidRPr="0031391F">
              <w:t>14</w:t>
            </w:r>
          </w:p>
        </w:tc>
        <w:tc>
          <w:tcPr>
            <w:tcW w:w="6869" w:type="dxa"/>
          </w:tcPr>
          <w:p w14:paraId="1478BE6D" w14:textId="3EF1E267" w:rsidR="00CF1990" w:rsidRPr="0031391F" w:rsidRDefault="00CF1990" w:rsidP="00CF1990">
            <w:pPr>
              <w:ind w:left="0"/>
            </w:pPr>
            <w:r w:rsidRPr="0031391F">
              <w:t>Dacă proiectul include și investiții în active necorporale, valoarea eligibilă nu depășește 5% din valoarea eligibilă a activelor corpor</w:t>
            </w:r>
            <w:r w:rsidR="00B3474B" w:rsidRPr="0031391F">
              <w:t>ale ce fac obiectul proiectului</w:t>
            </w:r>
          </w:p>
        </w:tc>
        <w:tc>
          <w:tcPr>
            <w:tcW w:w="1179" w:type="dxa"/>
          </w:tcPr>
          <w:p w14:paraId="772E289F" w14:textId="77777777" w:rsidR="00CF1990" w:rsidRPr="0031391F" w:rsidRDefault="00CF1990" w:rsidP="00CF1990">
            <w:pPr>
              <w:ind w:left="0"/>
            </w:pPr>
          </w:p>
        </w:tc>
        <w:tc>
          <w:tcPr>
            <w:tcW w:w="5276" w:type="dxa"/>
          </w:tcPr>
          <w:p w14:paraId="05E6F952" w14:textId="77777777" w:rsidR="00CF1990" w:rsidRPr="0031391F" w:rsidRDefault="00CF1990" w:rsidP="00CF1990">
            <w:pPr>
              <w:ind w:left="0"/>
            </w:pPr>
          </w:p>
        </w:tc>
      </w:tr>
      <w:tr w:rsidR="00C12C20" w:rsidRPr="0031391F" w14:paraId="21F6A31C" w14:textId="08F77929" w:rsidTr="0090527E">
        <w:tc>
          <w:tcPr>
            <w:tcW w:w="693" w:type="dxa"/>
          </w:tcPr>
          <w:p w14:paraId="0B850CA3" w14:textId="3C109470" w:rsidR="00C12C20" w:rsidRPr="0031391F" w:rsidRDefault="00C12C20" w:rsidP="00C12C20">
            <w:pPr>
              <w:ind w:left="0"/>
              <w:jc w:val="center"/>
            </w:pPr>
            <w:r w:rsidRPr="0031391F">
              <w:t>15</w:t>
            </w:r>
          </w:p>
        </w:tc>
        <w:tc>
          <w:tcPr>
            <w:tcW w:w="6869" w:type="dxa"/>
          </w:tcPr>
          <w:p w14:paraId="0A429113" w14:textId="6B50D41B" w:rsidR="00C12C20" w:rsidRPr="0031391F" w:rsidRDefault="00C12C20" w:rsidP="00C12C20">
            <w:pPr>
              <w:ind w:left="0"/>
            </w:pPr>
            <w:r w:rsidRPr="0031391F">
              <w:rPr>
                <w:rStyle w:val="cf01"/>
              </w:rPr>
              <w:t xml:space="preserve">Valoarea eligibilă aferentă componentei finanțabile prin ajutor de minimis nu poate depăși </w:t>
            </w:r>
            <w:r w:rsidR="006D05CF">
              <w:rPr>
                <w:rStyle w:val="cf01"/>
              </w:rPr>
              <w:t>10</w:t>
            </w:r>
            <w:r w:rsidRPr="0031391F">
              <w:rPr>
                <w:rStyle w:val="cf01"/>
              </w:rPr>
              <w:t>% din valoarea eligibilă totală a investiției.</w:t>
            </w:r>
          </w:p>
        </w:tc>
        <w:tc>
          <w:tcPr>
            <w:tcW w:w="1179" w:type="dxa"/>
          </w:tcPr>
          <w:p w14:paraId="36C440CC" w14:textId="77777777" w:rsidR="00C12C20" w:rsidRPr="0031391F" w:rsidRDefault="00C12C20" w:rsidP="00C12C20">
            <w:pPr>
              <w:ind w:left="0"/>
            </w:pPr>
          </w:p>
        </w:tc>
        <w:tc>
          <w:tcPr>
            <w:tcW w:w="5276" w:type="dxa"/>
          </w:tcPr>
          <w:p w14:paraId="18EFE07B" w14:textId="61DB2465" w:rsidR="00C12C20" w:rsidRPr="0031391F" w:rsidRDefault="00C12C20" w:rsidP="00C12C20">
            <w:pPr>
              <w:tabs>
                <w:tab w:val="left" w:pos="912"/>
              </w:tabs>
              <w:ind w:left="0"/>
            </w:pPr>
          </w:p>
        </w:tc>
      </w:tr>
      <w:tr w:rsidR="00CF1990" w:rsidRPr="0031391F" w14:paraId="0D82906B" w14:textId="45838635" w:rsidTr="0090527E">
        <w:tc>
          <w:tcPr>
            <w:tcW w:w="693" w:type="dxa"/>
          </w:tcPr>
          <w:p w14:paraId="4BA22F8B" w14:textId="69C41DF4" w:rsidR="00CF1990" w:rsidRPr="0031391F" w:rsidRDefault="00B3474B" w:rsidP="00CF1990">
            <w:pPr>
              <w:ind w:left="0"/>
              <w:jc w:val="center"/>
            </w:pPr>
            <w:r w:rsidRPr="0031391F">
              <w:t>16</w:t>
            </w:r>
          </w:p>
        </w:tc>
        <w:tc>
          <w:tcPr>
            <w:tcW w:w="6869" w:type="dxa"/>
          </w:tcPr>
          <w:p w14:paraId="2806C203" w14:textId="73CE5965" w:rsidR="00CF1990" w:rsidRPr="0031391F" w:rsidRDefault="00CF1990" w:rsidP="00CF1990">
            <w:pPr>
              <w:ind w:left="0"/>
            </w:pPr>
            <w:r w:rsidRPr="0031391F">
              <w:t>Conform declarației unice, proiectul respectă legislația națională și comunitară în domeniile egalității de șanse, de gen, nediscriminare, accesibilitate, dezvoltare durabilă, eficienţă energetică, imunizare la schimbările climatice</w:t>
            </w:r>
          </w:p>
        </w:tc>
        <w:tc>
          <w:tcPr>
            <w:tcW w:w="1179" w:type="dxa"/>
          </w:tcPr>
          <w:p w14:paraId="264DB0C1" w14:textId="77777777" w:rsidR="00CF1990" w:rsidRPr="0031391F" w:rsidRDefault="00CF1990" w:rsidP="00CF1990">
            <w:pPr>
              <w:ind w:left="0"/>
            </w:pPr>
          </w:p>
        </w:tc>
        <w:tc>
          <w:tcPr>
            <w:tcW w:w="5276" w:type="dxa"/>
          </w:tcPr>
          <w:p w14:paraId="61C06995" w14:textId="77777777" w:rsidR="00CF1990" w:rsidRPr="0031391F" w:rsidRDefault="00CF1990" w:rsidP="00CF1990">
            <w:pPr>
              <w:ind w:left="0"/>
            </w:pPr>
          </w:p>
        </w:tc>
      </w:tr>
      <w:tr w:rsidR="0033579E" w:rsidRPr="0031391F" w14:paraId="6D811597" w14:textId="77777777" w:rsidTr="00CC096F">
        <w:tc>
          <w:tcPr>
            <w:tcW w:w="693" w:type="dxa"/>
          </w:tcPr>
          <w:p w14:paraId="6D2A763E" w14:textId="187F06C1" w:rsidR="0033579E" w:rsidRPr="0031391F" w:rsidRDefault="0033579E" w:rsidP="00CF1990">
            <w:pPr>
              <w:ind w:left="0"/>
              <w:jc w:val="center"/>
              <w:rPr>
                <w:b/>
              </w:rPr>
            </w:pPr>
            <w:r w:rsidRPr="0031391F">
              <w:rPr>
                <w:b/>
              </w:rPr>
              <w:t>C</w:t>
            </w:r>
          </w:p>
        </w:tc>
        <w:tc>
          <w:tcPr>
            <w:tcW w:w="13324" w:type="dxa"/>
            <w:gridSpan w:val="3"/>
          </w:tcPr>
          <w:p w14:paraId="085CDC6E" w14:textId="104BCCF2" w:rsidR="0033579E" w:rsidRPr="0031391F" w:rsidRDefault="0033579E" w:rsidP="00CF1990">
            <w:pPr>
              <w:ind w:left="0"/>
              <w:rPr>
                <w:b/>
              </w:rPr>
            </w:pPr>
            <w:r w:rsidRPr="0031391F">
              <w:rPr>
                <w:b/>
              </w:rPr>
              <w:t>Neîncadrarea în situațiile de excludere prevăzute în Declarația unică – Secțiunea B</w:t>
            </w:r>
          </w:p>
        </w:tc>
      </w:tr>
      <w:tr w:rsidR="00CF1990" w:rsidRPr="0031391F" w14:paraId="7421FBF2" w14:textId="2D9F5A2A" w:rsidTr="0090527E">
        <w:tc>
          <w:tcPr>
            <w:tcW w:w="693" w:type="dxa"/>
          </w:tcPr>
          <w:p w14:paraId="5EFA8B08" w14:textId="0BCF1273" w:rsidR="00CF1990" w:rsidRPr="0031391F" w:rsidRDefault="00B3474B" w:rsidP="0033579E">
            <w:pPr>
              <w:ind w:left="0"/>
              <w:jc w:val="center"/>
            </w:pPr>
            <w:r w:rsidRPr="0031391F">
              <w:t>1</w:t>
            </w:r>
          </w:p>
        </w:tc>
        <w:tc>
          <w:tcPr>
            <w:tcW w:w="6869" w:type="dxa"/>
          </w:tcPr>
          <w:p w14:paraId="4CB4A7C5" w14:textId="511F8705" w:rsidR="00CF1990" w:rsidRPr="0031391F" w:rsidRDefault="00CF1990" w:rsidP="00CF1990">
            <w:pPr>
              <w:ind w:left="0"/>
            </w:pPr>
            <w:r w:rsidRPr="0031391F">
              <w:t xml:space="preserve">Conform Declarației unice, Solicitantul nu se află în niciuna din situațiile de excludere </w:t>
            </w:r>
            <w:r w:rsidR="00B3474B" w:rsidRPr="0031391F">
              <w:t xml:space="preserve">prevăzute de legislația națională, respectiv Ghidul solicitantului, </w:t>
            </w:r>
            <w:r w:rsidRPr="0031391F">
              <w:t>menționate în Declarația unică</w:t>
            </w:r>
            <w:r w:rsidR="00B3474B" w:rsidRPr="0031391F">
              <w:t xml:space="preserve"> – secțiunea B</w:t>
            </w:r>
          </w:p>
        </w:tc>
        <w:tc>
          <w:tcPr>
            <w:tcW w:w="1179" w:type="dxa"/>
          </w:tcPr>
          <w:p w14:paraId="4994FFB1" w14:textId="77777777" w:rsidR="00CF1990" w:rsidRPr="0031391F" w:rsidRDefault="00CF1990" w:rsidP="00CF1990">
            <w:pPr>
              <w:ind w:left="0"/>
            </w:pPr>
          </w:p>
        </w:tc>
        <w:tc>
          <w:tcPr>
            <w:tcW w:w="5276" w:type="dxa"/>
          </w:tcPr>
          <w:p w14:paraId="753EC6B8" w14:textId="77777777" w:rsidR="00B3474B" w:rsidRPr="0031391F" w:rsidRDefault="00B3474B" w:rsidP="00B3474B">
            <w:pPr>
              <w:ind w:left="0"/>
            </w:pPr>
            <w:r w:rsidRPr="0031391F">
              <w:t>1.</w:t>
            </w:r>
            <w:r w:rsidRPr="0031391F">
              <w:tab/>
              <w:t>Solicitantul nu se află în niciuna din situațiile de excludere de mai jos:</w:t>
            </w:r>
          </w:p>
          <w:p w14:paraId="045A6F4B" w14:textId="77777777" w:rsidR="00B3474B" w:rsidRPr="0031391F" w:rsidRDefault="00B3474B" w:rsidP="00B3474B">
            <w:pPr>
              <w:ind w:left="0"/>
            </w:pPr>
            <w:r w:rsidRPr="0031391F">
              <w:t>a.</w:t>
            </w:r>
            <w:r w:rsidRPr="0031391F">
              <w:tab/>
              <w:t>Se află în stare de faliment/ insolvenţă sau face obiectul unei proceduri de lichidare sau de administrare judiciară, a încheiat acorduri cu creditorii (în procedurile anterior menţionate), şi-a suspendat activitatea economică sau face obiectul unei proceduri în urma acestor situaţii sau se află în situaţii similare în urma unei proceduri de aceeaşi natură prevăzute de legislaţia sau de reglementările naţionale;</w:t>
            </w:r>
          </w:p>
          <w:p w14:paraId="1C6C39D5" w14:textId="77777777" w:rsidR="00B3474B" w:rsidRPr="0031391F" w:rsidRDefault="00B3474B" w:rsidP="00B3474B">
            <w:pPr>
              <w:ind w:left="0"/>
            </w:pPr>
            <w:r w:rsidRPr="0031391F">
              <w:t>b.</w:t>
            </w:r>
            <w:r w:rsidRPr="0031391F">
              <w:tab/>
              <w:t>Face obiectul unei proceduri legale pentru declararea sa într-una din situațiile de la punctul a.;</w:t>
            </w:r>
          </w:p>
          <w:p w14:paraId="7EF372F2" w14:textId="77777777" w:rsidR="00B3474B" w:rsidRPr="0031391F" w:rsidRDefault="00B3474B" w:rsidP="00B3474B">
            <w:pPr>
              <w:ind w:left="0"/>
            </w:pPr>
            <w:r w:rsidRPr="0031391F">
              <w:t>c.</w:t>
            </w:r>
            <w:r w:rsidRPr="0031391F">
              <w:tab/>
              <w:t xml:space="preserve">Este subiectul unei decizii de recuperare a unui ajutor de stat ce nu a fost deja executată și creanța nu a </w:t>
            </w:r>
            <w:r w:rsidRPr="0031391F">
              <w:lastRenderedPageBreak/>
              <w:t>fost integral recuperată, anexându-se dovezi în acest sens;</w:t>
            </w:r>
          </w:p>
          <w:p w14:paraId="5C8DB48F" w14:textId="77777777" w:rsidR="00B3474B" w:rsidRPr="0031391F" w:rsidRDefault="00B3474B" w:rsidP="00B3474B">
            <w:pPr>
              <w:ind w:left="0"/>
            </w:pPr>
            <w:r w:rsidRPr="0031391F">
              <w:t>d.</w:t>
            </w:r>
            <w:r w:rsidRPr="0031391F">
              <w:tab/>
              <w:t>Este în dificultate, în conformitate cu prevederile Regulamentului (UE) nr. 651/2014 al Comisiei din 17 iunie 2014 de declarare a anumitor categorii de ajutoare compatibile cu piața internă în aplicarea articolelor 107 și 108 din tratat, cu modificările și completările ulterioare și anume:</w:t>
            </w:r>
          </w:p>
          <w:p w14:paraId="4354BB86" w14:textId="77777777" w:rsidR="00B3474B" w:rsidRPr="0031391F" w:rsidRDefault="00B3474B" w:rsidP="00B3474B">
            <w:pPr>
              <w:ind w:left="0"/>
            </w:pPr>
            <w:r w:rsidRPr="0031391F">
              <w:t>i.</w:t>
            </w:r>
            <w:r w:rsidRPr="0031391F">
              <w:tab/>
              <w:t>[se aplică doar dacă întreprinderea are, la data declarației, cel puțin 3 ani de la înființare] în cazul unei societăți cu răspundere limitată, atunci când mai mult de jumătate din capitalul social subscris a dispărut din cauza pierderilor acumulate. Această situație survine atunci când deducerea pierderilor acumulate din rezerve (și din toate celelalte elemente considerate în general ca făcând parte din fondurile proprii ale societății) conduce la un cuantum cumulat negativ care depășește jumătate din capitalul social subscris;</w:t>
            </w:r>
          </w:p>
          <w:p w14:paraId="24AADAE6" w14:textId="77777777" w:rsidR="00B3474B" w:rsidRPr="0031391F" w:rsidRDefault="00B3474B" w:rsidP="00B3474B">
            <w:pPr>
              <w:ind w:left="0"/>
            </w:pPr>
            <w:r w:rsidRPr="0031391F">
              <w:t>ii.</w:t>
            </w:r>
            <w:r w:rsidRPr="0031391F">
              <w:tab/>
              <w:t>[se aplică doar dacă întreprinderea are, la data declarației, cel puțin 3 ani de la înființare] în cazul unei societăți comerciale în care cel puțin unii dintre asociați au răspundere nelimitată pentru datoriile societății, atunci când mai mult de jumătate din capitalul propriu, astfel cum reiese din contabilitatea societății, a dispărut din cauza pierderilor acumulate;</w:t>
            </w:r>
          </w:p>
          <w:p w14:paraId="499C6D84" w14:textId="77777777" w:rsidR="00B3474B" w:rsidRPr="0031391F" w:rsidRDefault="00B3474B" w:rsidP="00B3474B">
            <w:pPr>
              <w:ind w:left="0"/>
            </w:pPr>
            <w:r w:rsidRPr="0031391F">
              <w:t>iii.</w:t>
            </w:r>
            <w:r w:rsidRPr="0031391F">
              <w:tab/>
              <w:t>atunci când întreprinderea face obiectul unei proceduri colective de insolvență sau îndeplinește criteriile prevăzute de legislația națională pentru inițierea unei proceduri colective de insolvență la cererea creditori lor săi;</w:t>
            </w:r>
          </w:p>
          <w:p w14:paraId="11223121" w14:textId="77777777" w:rsidR="00B3474B" w:rsidRPr="0031391F" w:rsidRDefault="00B3474B" w:rsidP="00B3474B">
            <w:pPr>
              <w:ind w:left="0"/>
            </w:pPr>
            <w:r w:rsidRPr="0031391F">
              <w:t>iv.</w:t>
            </w:r>
            <w:r w:rsidRPr="0031391F">
              <w:tab/>
              <w:t xml:space="preserve">atunci când întreprinderea a primit ajutor pentru salvare și nu a rambursat încă împrumutul sau nu a </w:t>
            </w:r>
            <w:r w:rsidRPr="0031391F">
              <w:lastRenderedPageBreak/>
              <w:t>încetat garanția sau a primit ajutoare pentru restructurare și face încă obiectul unui plan de restructurare.</w:t>
            </w:r>
          </w:p>
          <w:p w14:paraId="5552B959" w14:textId="67C38019" w:rsidR="00CF1990" w:rsidRPr="0031391F" w:rsidRDefault="00B3474B" w:rsidP="00B3474B">
            <w:pPr>
              <w:ind w:left="0"/>
            </w:pPr>
            <w:r w:rsidRPr="0031391F">
              <w:t>e.</w:t>
            </w:r>
            <w:r w:rsidRPr="0031391F">
              <w:tab/>
              <w:t>A fost găsit vinovat, printr-o hotărâre judecătorească definitivă, pentru comiterea unei fraude/ infracțiuni referitoare obţinerea şi utilizarea fondurilor europene şi/sau a fondurilor publice naţionale aferente acestora, în conformitate cu prevederile Codului Penal aprobat prin Legea nr. 286/2009, cu modificările și completările ulterioare.</w:t>
            </w:r>
          </w:p>
        </w:tc>
      </w:tr>
      <w:tr w:rsidR="00CF1990" w14:paraId="209E388F" w14:textId="619D7F18" w:rsidTr="0090527E">
        <w:tc>
          <w:tcPr>
            <w:tcW w:w="693" w:type="dxa"/>
          </w:tcPr>
          <w:p w14:paraId="56186B72" w14:textId="00F57CF3" w:rsidR="00CF1990" w:rsidRPr="0031391F" w:rsidRDefault="0033579E" w:rsidP="00CF1990">
            <w:pPr>
              <w:ind w:left="0"/>
              <w:jc w:val="center"/>
            </w:pPr>
            <w:r w:rsidRPr="0031391F">
              <w:lastRenderedPageBreak/>
              <w:t>2</w:t>
            </w:r>
          </w:p>
        </w:tc>
        <w:tc>
          <w:tcPr>
            <w:tcW w:w="6869" w:type="dxa"/>
          </w:tcPr>
          <w:p w14:paraId="01DED6B9" w14:textId="1FF6074D" w:rsidR="00CF1990" w:rsidRPr="0031391F" w:rsidRDefault="00CF1990" w:rsidP="00CF1990">
            <w:pPr>
              <w:ind w:left="0"/>
            </w:pPr>
            <w:r w:rsidRPr="0031391F">
              <w:t xml:space="preserve">Conform Declarației unice, reprezentantul legal al Solicitantului nu se află în niciuna din situațiile de excludere </w:t>
            </w:r>
            <w:r w:rsidR="00B3474B" w:rsidRPr="0031391F">
              <w:t>prevăzute de legislația națională, respectiv Ghidul solicitantului, menționate în Declarația unică – secțiunea B</w:t>
            </w:r>
          </w:p>
        </w:tc>
        <w:tc>
          <w:tcPr>
            <w:tcW w:w="1179" w:type="dxa"/>
          </w:tcPr>
          <w:p w14:paraId="5CE036AB" w14:textId="77777777" w:rsidR="00CF1990" w:rsidRPr="0031391F" w:rsidRDefault="00CF1990" w:rsidP="00CF1990">
            <w:pPr>
              <w:ind w:left="0"/>
            </w:pPr>
          </w:p>
        </w:tc>
        <w:tc>
          <w:tcPr>
            <w:tcW w:w="5276" w:type="dxa"/>
          </w:tcPr>
          <w:p w14:paraId="26EE5AC0" w14:textId="77777777" w:rsidR="00B3474B" w:rsidRPr="0031391F" w:rsidRDefault="00B3474B" w:rsidP="00B3474B">
            <w:pPr>
              <w:ind w:left="0"/>
            </w:pPr>
            <w:r w:rsidRPr="0031391F">
              <w:t>2.</w:t>
            </w:r>
            <w:r w:rsidRPr="0031391F">
              <w:tab/>
              <w:t>Reprezentantul legal al solicitantului nu se află în niciuna din situațiile de excludere de mai jos:</w:t>
            </w:r>
          </w:p>
          <w:p w14:paraId="211C302C" w14:textId="77777777" w:rsidR="00B3474B" w:rsidRPr="0031391F" w:rsidRDefault="00B3474B" w:rsidP="00B3474B">
            <w:pPr>
              <w:ind w:left="0"/>
            </w:pPr>
            <w:r w:rsidRPr="0031391F">
              <w:t>a.</w:t>
            </w:r>
            <w:r w:rsidRPr="0031391F">
              <w:tab/>
              <w:t>este subiectul unui conflict de interese, definit în conformitate cu prevederile naţionale/ comunitare în vigoare, sau se află într-o situaţie care are sau poate avea ca efect compromiterea obiectivității și imparțialității procesului de evaluare selecție, contractare și implementare a proiectului;</w:t>
            </w:r>
          </w:p>
          <w:p w14:paraId="5170D935" w14:textId="77777777" w:rsidR="00B3474B" w:rsidRPr="0031391F" w:rsidRDefault="00B3474B" w:rsidP="00B3474B">
            <w:pPr>
              <w:ind w:left="0"/>
            </w:pPr>
            <w:r w:rsidRPr="0031391F">
              <w:t>b.</w:t>
            </w:r>
            <w:r w:rsidRPr="0031391F">
              <w:tab/>
              <w:t>se află în situația de a induce grav în eroare Autoritatea de Management sau comisiile de evaluare şi selecţie, prin furnizarea de informaţii incorecte în cadrul prezentului apel de proiecte sau a altor apeluri de proiecte derulate în cadrul PTJ;</w:t>
            </w:r>
          </w:p>
          <w:p w14:paraId="71499C32" w14:textId="77777777" w:rsidR="00B3474B" w:rsidRPr="0031391F" w:rsidRDefault="00B3474B" w:rsidP="00B3474B">
            <w:pPr>
              <w:ind w:left="0"/>
            </w:pPr>
            <w:r w:rsidRPr="0031391F">
              <w:t>c.</w:t>
            </w:r>
            <w:r w:rsidRPr="0031391F">
              <w:tab/>
              <w:t>se află în situația de a încerca/ de a fi încercat să obţină informaţii confidenţiale sau să influenţeze comisiile de evaluare şi selecţie sau Autoritatea de Management pe parcursul procesului de evaluare și selecție a prezentului apel de proiecte sau a altor apeluri de proiecte derulate în cadrul PTJ;</w:t>
            </w:r>
          </w:p>
          <w:p w14:paraId="7221ADE8" w14:textId="2FFA111E" w:rsidR="00CF1990" w:rsidRDefault="00B3474B" w:rsidP="00B3474B">
            <w:pPr>
              <w:ind w:left="0"/>
            </w:pPr>
            <w:r w:rsidRPr="0031391F">
              <w:lastRenderedPageBreak/>
              <w:t>d.</w:t>
            </w:r>
            <w:r w:rsidRPr="0031391F">
              <w:tab/>
              <w:t>a suferit condamnări definitive în cauze referitoare obţinerea şi utilizarea fondurilor europene şi/sau a fondurilor publice naţionale aferente acestora.</w:t>
            </w:r>
          </w:p>
        </w:tc>
      </w:tr>
    </w:tbl>
    <w:p w14:paraId="6AC24077" w14:textId="77777777" w:rsidR="00545B50" w:rsidRPr="00545B50" w:rsidRDefault="00545B50" w:rsidP="00AB1044">
      <w:pPr>
        <w:ind w:left="0"/>
      </w:pPr>
    </w:p>
    <w:sectPr w:rsidR="00545B50" w:rsidRPr="00545B50" w:rsidSect="003C4AF1">
      <w:headerReference w:type="default" r:id="rId8"/>
      <w:footerReference w:type="default" r:id="rId9"/>
      <w:headerReference w:type="first" r:id="rId10"/>
      <w:pgSz w:w="16838" w:h="11906" w:orient="landscape"/>
      <w:pgMar w:top="1134" w:right="1417" w:bottom="1133" w:left="851" w:header="426"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2AE0" w14:textId="77777777" w:rsidR="00D87CE4" w:rsidRDefault="00D87CE4" w:rsidP="00896F7E">
      <w:r>
        <w:separator/>
      </w:r>
    </w:p>
  </w:endnote>
  <w:endnote w:type="continuationSeparator" w:id="0">
    <w:p w14:paraId="402FAC88" w14:textId="77777777" w:rsidR="00D87CE4" w:rsidRDefault="00D87CE4" w:rsidP="0089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libri"/>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53372"/>
      <w:docPartObj>
        <w:docPartGallery w:val="Page Numbers (Bottom of Page)"/>
        <w:docPartUnique/>
      </w:docPartObj>
    </w:sdtPr>
    <w:sdtContent>
      <w:p w14:paraId="06E3D632" w14:textId="508081B4" w:rsidR="001024FE" w:rsidRDefault="001024FE" w:rsidP="00972D31">
        <w:pPr>
          <w:pStyle w:val="Footer"/>
          <w:jc w:val="center"/>
        </w:pPr>
        <w:r w:rsidRPr="005F3D98">
          <w:fldChar w:fldCharType="begin"/>
        </w:r>
        <w:r w:rsidRPr="005F3D98">
          <w:instrText>PAGE   \* MERGEFORMAT</w:instrText>
        </w:r>
        <w:r w:rsidRPr="005F3D98">
          <w:fldChar w:fldCharType="separate"/>
        </w:r>
        <w:r w:rsidR="00433D38">
          <w:rPr>
            <w:noProof/>
          </w:rPr>
          <w:t>22</w:t>
        </w:r>
        <w:r w:rsidRPr="005F3D98">
          <w:fldChar w:fldCharType="end"/>
        </w:r>
      </w:p>
    </w:sdtContent>
  </w:sdt>
  <w:p w14:paraId="6D9CFFD2" w14:textId="77777777" w:rsidR="001024FE" w:rsidRDefault="001024FE" w:rsidP="00896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C7C6" w14:textId="77777777" w:rsidR="00D87CE4" w:rsidRDefault="00D87CE4" w:rsidP="00896F7E">
      <w:r>
        <w:separator/>
      </w:r>
    </w:p>
  </w:footnote>
  <w:footnote w:type="continuationSeparator" w:id="0">
    <w:p w14:paraId="1F40C0BC" w14:textId="77777777" w:rsidR="00D87CE4" w:rsidRDefault="00D87CE4" w:rsidP="0089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9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209"/>
      <w:gridCol w:w="9974"/>
      <w:gridCol w:w="5953"/>
    </w:tblGrid>
    <w:tr w:rsidR="001024FE" w14:paraId="10B84C35" w14:textId="77777777" w:rsidTr="003C4AF1">
      <w:tc>
        <w:tcPr>
          <w:tcW w:w="3209" w:type="dxa"/>
        </w:tcPr>
        <w:p w14:paraId="1D61B772" w14:textId="77777777" w:rsidR="001024FE" w:rsidRDefault="001024FE" w:rsidP="00896F7E">
          <w:pPr>
            <w:pStyle w:val="Header"/>
            <w:rPr>
              <w:lang w:val="en-US"/>
            </w:rPr>
          </w:pPr>
        </w:p>
      </w:tc>
      <w:tc>
        <w:tcPr>
          <w:tcW w:w="9974" w:type="dxa"/>
          <w:tcBorders>
            <w:right w:val="single" w:sz="2" w:space="0" w:color="3494BA" w:themeColor="accent1"/>
          </w:tcBorders>
        </w:tcPr>
        <w:p w14:paraId="48C75845" w14:textId="77777777" w:rsidR="001024FE" w:rsidRDefault="001024FE" w:rsidP="00896F7E">
          <w:pPr>
            <w:pStyle w:val="Header"/>
            <w:rPr>
              <w:lang w:val="en-US"/>
            </w:rPr>
          </w:pPr>
        </w:p>
      </w:tc>
      <w:tc>
        <w:tcPr>
          <w:tcW w:w="5953" w:type="dxa"/>
          <w:tcBorders>
            <w:left w:val="single" w:sz="2" w:space="0" w:color="3494BA" w:themeColor="accent1"/>
          </w:tcBorders>
        </w:tcPr>
        <w:p w14:paraId="22923053" w14:textId="77777777" w:rsidR="001024FE" w:rsidRPr="00D607DB" w:rsidRDefault="001024FE" w:rsidP="00896F7E">
          <w:pPr>
            <w:pStyle w:val="PTJ-header"/>
          </w:pPr>
          <w:r w:rsidRPr="00D607DB">
            <w:t>PROGRAMUL</w:t>
          </w:r>
        </w:p>
        <w:p w14:paraId="5D54B126" w14:textId="77777777" w:rsidR="001024FE" w:rsidRPr="00D607DB" w:rsidRDefault="001024FE" w:rsidP="00896F7E">
          <w:pPr>
            <w:pStyle w:val="PTJ-header"/>
          </w:pPr>
          <w:r w:rsidRPr="00D607DB">
            <w:t>TRANZIȚIE</w:t>
          </w:r>
        </w:p>
        <w:p w14:paraId="151CE635" w14:textId="77777777" w:rsidR="001024FE" w:rsidRPr="00100413" w:rsidRDefault="001024FE" w:rsidP="00896F7E">
          <w:pPr>
            <w:pStyle w:val="PTJ-header"/>
          </w:pPr>
          <w:r w:rsidRPr="00D607DB">
            <w:t>JUSTĂ</w:t>
          </w:r>
        </w:p>
      </w:tc>
    </w:tr>
  </w:tbl>
  <w:p w14:paraId="095055A3" w14:textId="77777777" w:rsidR="001024FE" w:rsidRPr="000D0039" w:rsidRDefault="001024FE" w:rsidP="00896F7E">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2376"/>
      <w:gridCol w:w="6555"/>
    </w:tblGrid>
    <w:tr w:rsidR="001024FE" w14:paraId="32721CFB" w14:textId="77777777" w:rsidTr="00603FA0">
      <w:trPr>
        <w:trHeight w:val="1343"/>
      </w:trPr>
      <w:tc>
        <w:tcPr>
          <w:tcW w:w="1777" w:type="dxa"/>
          <w:shd w:val="clear" w:color="auto" w:fill="auto"/>
          <w:vAlign w:val="center"/>
        </w:tcPr>
        <w:p w14:paraId="6CEC1DA8" w14:textId="77777777" w:rsidR="001024FE" w:rsidRDefault="001024FE" w:rsidP="00896F7E">
          <w:pPr>
            <w:pStyle w:val="Header"/>
          </w:pPr>
          <w:r w:rsidRPr="005A00BE">
            <w:rPr>
              <w:noProof/>
              <w:lang w:eastAsia="ro-RO"/>
            </w:rPr>
            <w:drawing>
              <wp:inline distT="0" distB="0" distL="0" distR="0" wp14:anchorId="7199BF40" wp14:editId="324AF55C">
                <wp:extent cx="914400" cy="914400"/>
                <wp:effectExtent l="0" t="0" r="0" b="0"/>
                <wp:docPr id="6" name="Picture 6" descr="Description: C:\Users\COSTAC~1\AppData\Local\Temp\Rar$DIa0.229\sigla_guv_coroana_albastru_fundal a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OSTAC~1\AppData\Local\Temp\Rar$DIa0.229\sigla_guv_coroana_albastru_fundal al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154" w:type="dxa"/>
          <w:shd w:val="clear" w:color="auto" w:fill="auto"/>
          <w:vAlign w:val="center"/>
        </w:tcPr>
        <w:p w14:paraId="393AB6D5" w14:textId="505541AC" w:rsidR="001024FE" w:rsidRDefault="001024FE" w:rsidP="00896F7E">
          <w:pPr>
            <w:pStyle w:val="Instituie"/>
          </w:pPr>
          <w:r w:rsidRPr="00256305">
            <w:t xml:space="preserve">Ministerul </w:t>
          </w:r>
          <w:r>
            <w:t>Investițiilor și Proiectelor Europene</w:t>
          </w:r>
        </w:p>
      </w:tc>
    </w:tr>
  </w:tbl>
  <w:p w14:paraId="4DBE212C" w14:textId="5BF54F32" w:rsidR="001024FE" w:rsidRPr="00E368E0" w:rsidRDefault="001024FE" w:rsidP="00896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3DA"/>
    <w:multiLevelType w:val="hybridMultilevel"/>
    <w:tmpl w:val="E4761698"/>
    <w:lvl w:ilvl="0" w:tplc="10C601F8">
      <w:start w:val="2"/>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C21118"/>
    <w:multiLevelType w:val="hybridMultilevel"/>
    <w:tmpl w:val="9336FA22"/>
    <w:lvl w:ilvl="0" w:tplc="283A885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88C11D9"/>
    <w:multiLevelType w:val="hybridMultilevel"/>
    <w:tmpl w:val="F92EFE94"/>
    <w:lvl w:ilvl="0" w:tplc="0418001B">
      <w:start w:val="1"/>
      <w:numFmt w:val="lowerRoman"/>
      <w:lvlText w:val="%1."/>
      <w:lvlJc w:val="right"/>
      <w:pPr>
        <w:ind w:left="1080" w:hanging="720"/>
      </w:pPr>
      <w:rPr>
        <w:rFonts w:hint="default"/>
        <w:b w:val="0"/>
        <w:bCs/>
        <w:color w:val="auto"/>
      </w:rPr>
    </w:lvl>
    <w:lvl w:ilvl="1" w:tplc="1C86C3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37"/>
    <w:multiLevelType w:val="hybridMultilevel"/>
    <w:tmpl w:val="F2AC6F9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0BCA6923"/>
    <w:multiLevelType w:val="hybridMultilevel"/>
    <w:tmpl w:val="AB7897C6"/>
    <w:lvl w:ilvl="0" w:tplc="255A7340">
      <w:start w:val="1"/>
      <w:numFmt w:val="decimal"/>
      <w:lvlText w:val="%1."/>
      <w:lvlJc w:val="left"/>
      <w:pPr>
        <w:ind w:left="1080" w:hanging="360"/>
      </w:pPr>
      <w:rPr>
        <w:rFonts w:hint="default"/>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DA94FAD"/>
    <w:multiLevelType w:val="hybridMultilevel"/>
    <w:tmpl w:val="C012EE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680B34"/>
    <w:multiLevelType w:val="hybridMultilevel"/>
    <w:tmpl w:val="1C7057F4"/>
    <w:lvl w:ilvl="0" w:tplc="A90A68E8">
      <w:start w:val="1"/>
      <w:numFmt w:val="lowerLetter"/>
      <w:lvlText w:val="(%1)"/>
      <w:lvlJc w:val="left"/>
      <w:pPr>
        <w:ind w:left="720" w:hanging="360"/>
      </w:pPr>
      <w:rPr>
        <w:rFonts w:hint="default"/>
      </w:r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D6725B"/>
    <w:multiLevelType w:val="hybridMultilevel"/>
    <w:tmpl w:val="4B267A18"/>
    <w:lvl w:ilvl="0" w:tplc="04180001">
      <w:start w:val="1"/>
      <w:numFmt w:val="bullet"/>
      <w:lvlText w:val=""/>
      <w:lvlJc w:val="left"/>
      <w:pPr>
        <w:ind w:left="360" w:hanging="360"/>
      </w:pPr>
      <w:rPr>
        <w:rFonts w:ascii="Symbol" w:hAnsi="Symbol" w:hint="default"/>
      </w:rPr>
    </w:lvl>
    <w:lvl w:ilvl="1" w:tplc="0418000F">
      <w:start w:val="1"/>
      <w:numFmt w:val="decimal"/>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198A69C2"/>
    <w:multiLevelType w:val="hybridMultilevel"/>
    <w:tmpl w:val="7E6A0F7C"/>
    <w:lvl w:ilvl="0" w:tplc="72548038">
      <w:start w:val="1"/>
      <w:numFmt w:val="lowerLetter"/>
      <w:lvlText w:val="%1."/>
      <w:lvlJc w:val="left"/>
      <w:pPr>
        <w:ind w:left="1410" w:hanging="69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D1E3525"/>
    <w:multiLevelType w:val="hybridMultilevel"/>
    <w:tmpl w:val="22FA1CF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1D963539"/>
    <w:multiLevelType w:val="hybridMultilevel"/>
    <w:tmpl w:val="03589206"/>
    <w:lvl w:ilvl="0" w:tplc="0418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447BA3"/>
    <w:multiLevelType w:val="hybridMultilevel"/>
    <w:tmpl w:val="234EAFF8"/>
    <w:lvl w:ilvl="0" w:tplc="57A8348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5F606EF"/>
    <w:multiLevelType w:val="hybridMultilevel"/>
    <w:tmpl w:val="960A8ACE"/>
    <w:lvl w:ilvl="0" w:tplc="AF30357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69B31F9"/>
    <w:multiLevelType w:val="hybridMultilevel"/>
    <w:tmpl w:val="1EAC3512"/>
    <w:lvl w:ilvl="0" w:tplc="FD7E56C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AD854C4"/>
    <w:multiLevelType w:val="hybridMultilevel"/>
    <w:tmpl w:val="60703ADC"/>
    <w:lvl w:ilvl="0" w:tplc="09D8209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C840FB"/>
    <w:multiLevelType w:val="hybridMultilevel"/>
    <w:tmpl w:val="D4D81384"/>
    <w:lvl w:ilvl="0" w:tplc="66FEB93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300441FC"/>
    <w:multiLevelType w:val="hybridMultilevel"/>
    <w:tmpl w:val="398C18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4F6598"/>
    <w:multiLevelType w:val="hybridMultilevel"/>
    <w:tmpl w:val="808C02EE"/>
    <w:lvl w:ilvl="0" w:tplc="40A2DC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39C21096"/>
    <w:multiLevelType w:val="hybridMultilevel"/>
    <w:tmpl w:val="EB525F88"/>
    <w:lvl w:ilvl="0" w:tplc="72F83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94223"/>
    <w:multiLevelType w:val="hybridMultilevel"/>
    <w:tmpl w:val="EEEA464C"/>
    <w:lvl w:ilvl="0" w:tplc="0418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F72406F"/>
    <w:multiLevelType w:val="hybridMultilevel"/>
    <w:tmpl w:val="526E97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F9E4C93"/>
    <w:multiLevelType w:val="hybridMultilevel"/>
    <w:tmpl w:val="31DE8276"/>
    <w:lvl w:ilvl="0" w:tplc="EC700F1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416740E4"/>
    <w:multiLevelType w:val="hybridMultilevel"/>
    <w:tmpl w:val="321A5916"/>
    <w:lvl w:ilvl="0" w:tplc="453C6F82">
      <w:start w:val="4"/>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2C831ED"/>
    <w:multiLevelType w:val="hybridMultilevel"/>
    <w:tmpl w:val="13A88B52"/>
    <w:lvl w:ilvl="0" w:tplc="1A1CE78C">
      <w:start w:val="1"/>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2A542612">
      <w:start w:val="4"/>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451876F9"/>
    <w:multiLevelType w:val="hybridMultilevel"/>
    <w:tmpl w:val="D4320B36"/>
    <w:lvl w:ilvl="0" w:tplc="A5F08AF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500B6D2B"/>
    <w:multiLevelType w:val="hybridMultilevel"/>
    <w:tmpl w:val="8B8CDB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0662A0E"/>
    <w:multiLevelType w:val="hybridMultilevel"/>
    <w:tmpl w:val="E362C0F8"/>
    <w:lvl w:ilvl="0" w:tplc="035A05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51ED410C"/>
    <w:multiLevelType w:val="hybridMultilevel"/>
    <w:tmpl w:val="936ADCA6"/>
    <w:lvl w:ilvl="0" w:tplc="F8742AC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5C0C71A7"/>
    <w:multiLevelType w:val="hybridMultilevel"/>
    <w:tmpl w:val="85C0AC9A"/>
    <w:lvl w:ilvl="0" w:tplc="40A2DC0E">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5C6E3890"/>
    <w:multiLevelType w:val="hybridMultilevel"/>
    <w:tmpl w:val="218093D6"/>
    <w:lvl w:ilvl="0" w:tplc="C6DEE51C">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5C741D21"/>
    <w:multiLevelType w:val="hybridMultilevel"/>
    <w:tmpl w:val="9E2A582C"/>
    <w:lvl w:ilvl="0" w:tplc="3488C96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61DE4EA0"/>
    <w:multiLevelType w:val="hybridMultilevel"/>
    <w:tmpl w:val="BF9AFD44"/>
    <w:lvl w:ilvl="0" w:tplc="84681B46">
      <w:start w:val="1"/>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63FB4F57"/>
    <w:multiLevelType w:val="hybridMultilevel"/>
    <w:tmpl w:val="DEEC8D2C"/>
    <w:lvl w:ilvl="0" w:tplc="40A2DC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64C519CC"/>
    <w:multiLevelType w:val="multilevel"/>
    <w:tmpl w:val="B894B1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B3E73A4"/>
    <w:multiLevelType w:val="hybridMultilevel"/>
    <w:tmpl w:val="CAAA5F12"/>
    <w:lvl w:ilvl="0" w:tplc="215E9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BC472C"/>
    <w:multiLevelType w:val="hybridMultilevel"/>
    <w:tmpl w:val="4E64BF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0C7654F"/>
    <w:multiLevelType w:val="hybridMultilevel"/>
    <w:tmpl w:val="8E9442B8"/>
    <w:lvl w:ilvl="0" w:tplc="B0F400C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73BB2E47"/>
    <w:multiLevelType w:val="multilevel"/>
    <w:tmpl w:val="DC509110"/>
    <w:styleLink w:val="H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69426A"/>
    <w:multiLevelType w:val="hybridMultilevel"/>
    <w:tmpl w:val="B5C62204"/>
    <w:lvl w:ilvl="0" w:tplc="92BA544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7BC04F76"/>
    <w:multiLevelType w:val="hybridMultilevel"/>
    <w:tmpl w:val="C748D382"/>
    <w:lvl w:ilvl="0" w:tplc="31CA9F18">
      <w:start w:val="1"/>
      <w:numFmt w:val="decimal"/>
      <w:lvlText w:val="%1."/>
      <w:lvlJc w:val="left"/>
      <w:pPr>
        <w:ind w:left="1410" w:hanging="69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15:restartNumberingAfterBreak="0">
    <w:nsid w:val="7DD06CC8"/>
    <w:multiLevelType w:val="hybridMultilevel"/>
    <w:tmpl w:val="A9BAF0FA"/>
    <w:lvl w:ilvl="0" w:tplc="91EEE08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7F664965"/>
    <w:multiLevelType w:val="hybridMultilevel"/>
    <w:tmpl w:val="BA9A47AC"/>
    <w:lvl w:ilvl="0" w:tplc="40A2DC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833982729">
    <w:abstractNumId w:val="38"/>
  </w:num>
  <w:num w:numId="2" w16cid:durableId="467820215">
    <w:abstractNumId w:val="14"/>
  </w:num>
  <w:num w:numId="3" w16cid:durableId="1513033339">
    <w:abstractNumId w:val="24"/>
  </w:num>
  <w:num w:numId="4" w16cid:durableId="855846559">
    <w:abstractNumId w:val="1"/>
  </w:num>
  <w:num w:numId="5" w16cid:durableId="506822587">
    <w:abstractNumId w:val="39"/>
  </w:num>
  <w:num w:numId="6" w16cid:durableId="1753968073">
    <w:abstractNumId w:val="31"/>
  </w:num>
  <w:num w:numId="7" w16cid:durableId="1157258859">
    <w:abstractNumId w:val="25"/>
  </w:num>
  <w:num w:numId="8" w16cid:durableId="1995183149">
    <w:abstractNumId w:val="13"/>
  </w:num>
  <w:num w:numId="9" w16cid:durableId="1139343929">
    <w:abstractNumId w:val="32"/>
  </w:num>
  <w:num w:numId="10" w16cid:durableId="37515902">
    <w:abstractNumId w:val="22"/>
  </w:num>
  <w:num w:numId="11" w16cid:durableId="1919746489">
    <w:abstractNumId w:val="37"/>
  </w:num>
  <w:num w:numId="12" w16cid:durableId="917591664">
    <w:abstractNumId w:val="27"/>
  </w:num>
  <w:num w:numId="13" w16cid:durableId="1403018215">
    <w:abstractNumId w:val="41"/>
  </w:num>
  <w:num w:numId="14" w16cid:durableId="1849829617">
    <w:abstractNumId w:val="12"/>
  </w:num>
  <w:num w:numId="15" w16cid:durableId="642740133">
    <w:abstractNumId w:val="28"/>
  </w:num>
  <w:num w:numId="16" w16cid:durableId="1202673419">
    <w:abstractNumId w:val="30"/>
  </w:num>
  <w:num w:numId="17" w16cid:durableId="814251840">
    <w:abstractNumId w:val="16"/>
  </w:num>
  <w:num w:numId="18" w16cid:durableId="1707214397">
    <w:abstractNumId w:val="23"/>
  </w:num>
  <w:num w:numId="19" w16cid:durableId="1107776165">
    <w:abstractNumId w:val="11"/>
  </w:num>
  <w:num w:numId="20" w16cid:durableId="1693802930">
    <w:abstractNumId w:val="7"/>
  </w:num>
  <w:num w:numId="21" w16cid:durableId="1751193809">
    <w:abstractNumId w:val="6"/>
  </w:num>
  <w:num w:numId="22" w16cid:durableId="1618029201">
    <w:abstractNumId w:val="9"/>
  </w:num>
  <w:num w:numId="23" w16cid:durableId="2026326507">
    <w:abstractNumId w:val="40"/>
  </w:num>
  <w:num w:numId="24" w16cid:durableId="1517814800">
    <w:abstractNumId w:val="3"/>
  </w:num>
  <w:num w:numId="25" w16cid:durableId="104234788">
    <w:abstractNumId w:val="8"/>
  </w:num>
  <w:num w:numId="26" w16cid:durableId="569387974">
    <w:abstractNumId w:val="29"/>
  </w:num>
  <w:num w:numId="27" w16cid:durableId="321003883">
    <w:abstractNumId w:val="35"/>
  </w:num>
  <w:num w:numId="28" w16cid:durableId="945651265">
    <w:abstractNumId w:val="4"/>
  </w:num>
  <w:num w:numId="29" w16cid:durableId="69281836">
    <w:abstractNumId w:val="33"/>
  </w:num>
  <w:num w:numId="30" w16cid:durableId="1132602600">
    <w:abstractNumId w:val="18"/>
  </w:num>
  <w:num w:numId="31" w16cid:durableId="773207848">
    <w:abstractNumId w:val="42"/>
  </w:num>
  <w:num w:numId="32" w16cid:durableId="1945072831">
    <w:abstractNumId w:val="17"/>
  </w:num>
  <w:num w:numId="33" w16cid:durableId="826432635">
    <w:abstractNumId w:val="5"/>
  </w:num>
  <w:num w:numId="34" w16cid:durableId="1122042910">
    <w:abstractNumId w:val="21"/>
  </w:num>
  <w:num w:numId="35" w16cid:durableId="1495219634">
    <w:abstractNumId w:val="20"/>
  </w:num>
  <w:num w:numId="36" w16cid:durableId="1125077801">
    <w:abstractNumId w:val="36"/>
  </w:num>
  <w:num w:numId="37" w16cid:durableId="1129474833">
    <w:abstractNumId w:val="10"/>
  </w:num>
  <w:num w:numId="38" w16cid:durableId="843865527">
    <w:abstractNumId w:val="15"/>
  </w:num>
  <w:num w:numId="39" w16cid:durableId="1424572927">
    <w:abstractNumId w:val="26"/>
  </w:num>
  <w:num w:numId="40" w16cid:durableId="404883167">
    <w:abstractNumId w:val="19"/>
  </w:num>
  <w:num w:numId="41" w16cid:durableId="1139029408">
    <w:abstractNumId w:val="0"/>
  </w:num>
  <w:num w:numId="42" w16cid:durableId="1383675552">
    <w:abstractNumId w:val="34"/>
  </w:num>
  <w:num w:numId="43" w16cid:durableId="63402015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39"/>
    <w:rsid w:val="00000307"/>
    <w:rsid w:val="000031E7"/>
    <w:rsid w:val="000048DC"/>
    <w:rsid w:val="000052D0"/>
    <w:rsid w:val="000059AF"/>
    <w:rsid w:val="00007040"/>
    <w:rsid w:val="00007F66"/>
    <w:rsid w:val="000119AA"/>
    <w:rsid w:val="00012F7F"/>
    <w:rsid w:val="0001399E"/>
    <w:rsid w:val="00013C28"/>
    <w:rsid w:val="00014454"/>
    <w:rsid w:val="00014DCC"/>
    <w:rsid w:val="00021DE1"/>
    <w:rsid w:val="00023BC4"/>
    <w:rsid w:val="00032652"/>
    <w:rsid w:val="000341E0"/>
    <w:rsid w:val="0003583D"/>
    <w:rsid w:val="00036DDD"/>
    <w:rsid w:val="0004091D"/>
    <w:rsid w:val="00043B1B"/>
    <w:rsid w:val="000475C0"/>
    <w:rsid w:val="00050B88"/>
    <w:rsid w:val="00051AF1"/>
    <w:rsid w:val="00051FA1"/>
    <w:rsid w:val="000528FA"/>
    <w:rsid w:val="0005555D"/>
    <w:rsid w:val="00061623"/>
    <w:rsid w:val="00062469"/>
    <w:rsid w:val="000635CD"/>
    <w:rsid w:val="00063D10"/>
    <w:rsid w:val="00064760"/>
    <w:rsid w:val="000675A0"/>
    <w:rsid w:val="000711C4"/>
    <w:rsid w:val="000719F6"/>
    <w:rsid w:val="00073A0D"/>
    <w:rsid w:val="00075AA2"/>
    <w:rsid w:val="00076433"/>
    <w:rsid w:val="00076A8B"/>
    <w:rsid w:val="00076F36"/>
    <w:rsid w:val="000808A8"/>
    <w:rsid w:val="000815DF"/>
    <w:rsid w:val="00081FDF"/>
    <w:rsid w:val="000841DC"/>
    <w:rsid w:val="00084EFE"/>
    <w:rsid w:val="00096BB6"/>
    <w:rsid w:val="00096C4C"/>
    <w:rsid w:val="0009775A"/>
    <w:rsid w:val="000A3747"/>
    <w:rsid w:val="000B744A"/>
    <w:rsid w:val="000C1E26"/>
    <w:rsid w:val="000C5507"/>
    <w:rsid w:val="000D0039"/>
    <w:rsid w:val="000D191E"/>
    <w:rsid w:val="000E233A"/>
    <w:rsid w:val="000E5225"/>
    <w:rsid w:val="000E564B"/>
    <w:rsid w:val="000E762E"/>
    <w:rsid w:val="000F14F9"/>
    <w:rsid w:val="000F2882"/>
    <w:rsid w:val="00100413"/>
    <w:rsid w:val="00100438"/>
    <w:rsid w:val="00101A34"/>
    <w:rsid w:val="00101EAA"/>
    <w:rsid w:val="001024FE"/>
    <w:rsid w:val="00104A71"/>
    <w:rsid w:val="00105972"/>
    <w:rsid w:val="001160AD"/>
    <w:rsid w:val="001167FA"/>
    <w:rsid w:val="00117AEB"/>
    <w:rsid w:val="001203CC"/>
    <w:rsid w:val="00132AD8"/>
    <w:rsid w:val="00133D31"/>
    <w:rsid w:val="00134408"/>
    <w:rsid w:val="001405E3"/>
    <w:rsid w:val="00141074"/>
    <w:rsid w:val="00146AFA"/>
    <w:rsid w:val="00146D3C"/>
    <w:rsid w:val="001526CE"/>
    <w:rsid w:val="001570B3"/>
    <w:rsid w:val="001571FF"/>
    <w:rsid w:val="001628E4"/>
    <w:rsid w:val="001645F9"/>
    <w:rsid w:val="00166081"/>
    <w:rsid w:val="00167811"/>
    <w:rsid w:val="00170851"/>
    <w:rsid w:val="001719BF"/>
    <w:rsid w:val="00172DB8"/>
    <w:rsid w:val="00173186"/>
    <w:rsid w:val="0017385F"/>
    <w:rsid w:val="0017607F"/>
    <w:rsid w:val="0018013F"/>
    <w:rsid w:val="00180D10"/>
    <w:rsid w:val="001815CA"/>
    <w:rsid w:val="00182558"/>
    <w:rsid w:val="00182793"/>
    <w:rsid w:val="00187A17"/>
    <w:rsid w:val="0019067B"/>
    <w:rsid w:val="0019108C"/>
    <w:rsid w:val="001917E6"/>
    <w:rsid w:val="001918D1"/>
    <w:rsid w:val="001921DC"/>
    <w:rsid w:val="00193F3C"/>
    <w:rsid w:val="00197166"/>
    <w:rsid w:val="00197D5B"/>
    <w:rsid w:val="001A0833"/>
    <w:rsid w:val="001A2ADA"/>
    <w:rsid w:val="001A34B8"/>
    <w:rsid w:val="001A3567"/>
    <w:rsid w:val="001A7D7F"/>
    <w:rsid w:val="001B3635"/>
    <w:rsid w:val="001B58E0"/>
    <w:rsid w:val="001B5DDA"/>
    <w:rsid w:val="001B77AC"/>
    <w:rsid w:val="001C0674"/>
    <w:rsid w:val="001C2439"/>
    <w:rsid w:val="001C2D4B"/>
    <w:rsid w:val="001C30DB"/>
    <w:rsid w:val="001C5E39"/>
    <w:rsid w:val="001C76EC"/>
    <w:rsid w:val="001D38C5"/>
    <w:rsid w:val="001D73E4"/>
    <w:rsid w:val="001D7A05"/>
    <w:rsid w:val="001E6C84"/>
    <w:rsid w:val="001E7A7A"/>
    <w:rsid w:val="001F46C5"/>
    <w:rsid w:val="001F4B13"/>
    <w:rsid w:val="001F5CFD"/>
    <w:rsid w:val="001F6180"/>
    <w:rsid w:val="001F736D"/>
    <w:rsid w:val="00200036"/>
    <w:rsid w:val="00201AB9"/>
    <w:rsid w:val="002037AB"/>
    <w:rsid w:val="002076F1"/>
    <w:rsid w:val="00210F23"/>
    <w:rsid w:val="00212F6C"/>
    <w:rsid w:val="002158B9"/>
    <w:rsid w:val="00216F49"/>
    <w:rsid w:val="00220C6E"/>
    <w:rsid w:val="00221160"/>
    <w:rsid w:val="002212C1"/>
    <w:rsid w:val="00225824"/>
    <w:rsid w:val="0022656F"/>
    <w:rsid w:val="00226BE6"/>
    <w:rsid w:val="0022782D"/>
    <w:rsid w:val="002364D5"/>
    <w:rsid w:val="00237D1E"/>
    <w:rsid w:val="002434B9"/>
    <w:rsid w:val="0024493E"/>
    <w:rsid w:val="002462A5"/>
    <w:rsid w:val="002470F9"/>
    <w:rsid w:val="00252202"/>
    <w:rsid w:val="00252598"/>
    <w:rsid w:val="00254744"/>
    <w:rsid w:val="00255D73"/>
    <w:rsid w:val="00256384"/>
    <w:rsid w:val="0025655B"/>
    <w:rsid w:val="00257361"/>
    <w:rsid w:val="0026069D"/>
    <w:rsid w:val="00274AD6"/>
    <w:rsid w:val="00275895"/>
    <w:rsid w:val="00277095"/>
    <w:rsid w:val="002804FA"/>
    <w:rsid w:val="00281F67"/>
    <w:rsid w:val="002820F1"/>
    <w:rsid w:val="00287816"/>
    <w:rsid w:val="002878EF"/>
    <w:rsid w:val="00294957"/>
    <w:rsid w:val="002A0202"/>
    <w:rsid w:val="002A12CB"/>
    <w:rsid w:val="002A18E3"/>
    <w:rsid w:val="002A2670"/>
    <w:rsid w:val="002A2F72"/>
    <w:rsid w:val="002A6467"/>
    <w:rsid w:val="002A64C1"/>
    <w:rsid w:val="002B3810"/>
    <w:rsid w:val="002B3CF9"/>
    <w:rsid w:val="002B6549"/>
    <w:rsid w:val="002B7243"/>
    <w:rsid w:val="002C1F41"/>
    <w:rsid w:val="002C40B1"/>
    <w:rsid w:val="002C494E"/>
    <w:rsid w:val="002D164B"/>
    <w:rsid w:val="002D1A90"/>
    <w:rsid w:val="002D2E39"/>
    <w:rsid w:val="002D4669"/>
    <w:rsid w:val="002D6551"/>
    <w:rsid w:val="002D7974"/>
    <w:rsid w:val="002E2791"/>
    <w:rsid w:val="002E3B72"/>
    <w:rsid w:val="002F11AB"/>
    <w:rsid w:val="002F161F"/>
    <w:rsid w:val="002F2D04"/>
    <w:rsid w:val="002F6DC0"/>
    <w:rsid w:val="00301DC3"/>
    <w:rsid w:val="00301EED"/>
    <w:rsid w:val="00301FA8"/>
    <w:rsid w:val="00304C68"/>
    <w:rsid w:val="00304CEE"/>
    <w:rsid w:val="00306633"/>
    <w:rsid w:val="0031391F"/>
    <w:rsid w:val="00315D45"/>
    <w:rsid w:val="00320A03"/>
    <w:rsid w:val="00321FC1"/>
    <w:rsid w:val="00324FAE"/>
    <w:rsid w:val="0033451F"/>
    <w:rsid w:val="00334E8C"/>
    <w:rsid w:val="0033579E"/>
    <w:rsid w:val="003365E0"/>
    <w:rsid w:val="003402C0"/>
    <w:rsid w:val="0034193A"/>
    <w:rsid w:val="00342269"/>
    <w:rsid w:val="00347BEF"/>
    <w:rsid w:val="00350D97"/>
    <w:rsid w:val="0035226A"/>
    <w:rsid w:val="0036514C"/>
    <w:rsid w:val="00370B9A"/>
    <w:rsid w:val="0037350D"/>
    <w:rsid w:val="00377176"/>
    <w:rsid w:val="00377DFA"/>
    <w:rsid w:val="00377EAC"/>
    <w:rsid w:val="00381941"/>
    <w:rsid w:val="00381D9D"/>
    <w:rsid w:val="00381E23"/>
    <w:rsid w:val="00384354"/>
    <w:rsid w:val="00386D85"/>
    <w:rsid w:val="0039391F"/>
    <w:rsid w:val="00394993"/>
    <w:rsid w:val="00395A24"/>
    <w:rsid w:val="00395D3D"/>
    <w:rsid w:val="003965DF"/>
    <w:rsid w:val="00397ED1"/>
    <w:rsid w:val="003A12E5"/>
    <w:rsid w:val="003A4AEF"/>
    <w:rsid w:val="003B0251"/>
    <w:rsid w:val="003B0821"/>
    <w:rsid w:val="003B3328"/>
    <w:rsid w:val="003B35CF"/>
    <w:rsid w:val="003C1B4D"/>
    <w:rsid w:val="003C4988"/>
    <w:rsid w:val="003C4AF1"/>
    <w:rsid w:val="003C7E22"/>
    <w:rsid w:val="003C7E4E"/>
    <w:rsid w:val="003D03D8"/>
    <w:rsid w:val="003D42A8"/>
    <w:rsid w:val="003D510C"/>
    <w:rsid w:val="003D6212"/>
    <w:rsid w:val="003D698A"/>
    <w:rsid w:val="003D6BEC"/>
    <w:rsid w:val="003E34CC"/>
    <w:rsid w:val="003E4A62"/>
    <w:rsid w:val="003F0A6D"/>
    <w:rsid w:val="003F0EDC"/>
    <w:rsid w:val="003F15DE"/>
    <w:rsid w:val="00400A13"/>
    <w:rsid w:val="0040737A"/>
    <w:rsid w:val="00410E07"/>
    <w:rsid w:val="0041128F"/>
    <w:rsid w:val="004121A4"/>
    <w:rsid w:val="00412A00"/>
    <w:rsid w:val="00414F65"/>
    <w:rsid w:val="00420112"/>
    <w:rsid w:val="00422119"/>
    <w:rsid w:val="004242C7"/>
    <w:rsid w:val="0042543B"/>
    <w:rsid w:val="00425E42"/>
    <w:rsid w:val="0042675E"/>
    <w:rsid w:val="00433D38"/>
    <w:rsid w:val="00435BDD"/>
    <w:rsid w:val="00443DB8"/>
    <w:rsid w:val="00445C74"/>
    <w:rsid w:val="00445D72"/>
    <w:rsid w:val="00446314"/>
    <w:rsid w:val="00447CCF"/>
    <w:rsid w:val="00454B05"/>
    <w:rsid w:val="00456D51"/>
    <w:rsid w:val="004571CE"/>
    <w:rsid w:val="00457481"/>
    <w:rsid w:val="004602F3"/>
    <w:rsid w:val="00460409"/>
    <w:rsid w:val="00463887"/>
    <w:rsid w:val="004644F2"/>
    <w:rsid w:val="00471F7B"/>
    <w:rsid w:val="00477683"/>
    <w:rsid w:val="004802B2"/>
    <w:rsid w:val="00486CA9"/>
    <w:rsid w:val="00492173"/>
    <w:rsid w:val="004950C8"/>
    <w:rsid w:val="004951D5"/>
    <w:rsid w:val="004A0C9C"/>
    <w:rsid w:val="004A1258"/>
    <w:rsid w:val="004A1378"/>
    <w:rsid w:val="004A228D"/>
    <w:rsid w:val="004A49F0"/>
    <w:rsid w:val="004A5B22"/>
    <w:rsid w:val="004A71A6"/>
    <w:rsid w:val="004A7676"/>
    <w:rsid w:val="004B2C8D"/>
    <w:rsid w:val="004B3B47"/>
    <w:rsid w:val="004B4531"/>
    <w:rsid w:val="004B57E7"/>
    <w:rsid w:val="004B7788"/>
    <w:rsid w:val="004C0DB7"/>
    <w:rsid w:val="004C2682"/>
    <w:rsid w:val="004C6E40"/>
    <w:rsid w:val="004C6EF7"/>
    <w:rsid w:val="004D030E"/>
    <w:rsid w:val="004D5108"/>
    <w:rsid w:val="004D6E39"/>
    <w:rsid w:val="004D7A58"/>
    <w:rsid w:val="004D7C8A"/>
    <w:rsid w:val="004E4FDD"/>
    <w:rsid w:val="004E5D74"/>
    <w:rsid w:val="004F0111"/>
    <w:rsid w:val="004F1469"/>
    <w:rsid w:val="004F3A2A"/>
    <w:rsid w:val="004F440F"/>
    <w:rsid w:val="004F5A27"/>
    <w:rsid w:val="004F6431"/>
    <w:rsid w:val="005009B5"/>
    <w:rsid w:val="00501A89"/>
    <w:rsid w:val="00502853"/>
    <w:rsid w:val="00502BD0"/>
    <w:rsid w:val="00503EAB"/>
    <w:rsid w:val="005057C7"/>
    <w:rsid w:val="00507338"/>
    <w:rsid w:val="0051179E"/>
    <w:rsid w:val="005129DD"/>
    <w:rsid w:val="00513F3B"/>
    <w:rsid w:val="005143E6"/>
    <w:rsid w:val="005173B9"/>
    <w:rsid w:val="00517995"/>
    <w:rsid w:val="00521D66"/>
    <w:rsid w:val="00522493"/>
    <w:rsid w:val="00522C07"/>
    <w:rsid w:val="00523B6A"/>
    <w:rsid w:val="00524216"/>
    <w:rsid w:val="005302D6"/>
    <w:rsid w:val="00530FEA"/>
    <w:rsid w:val="00531954"/>
    <w:rsid w:val="00534E0C"/>
    <w:rsid w:val="0054216F"/>
    <w:rsid w:val="00545B50"/>
    <w:rsid w:val="00546033"/>
    <w:rsid w:val="005463C4"/>
    <w:rsid w:val="00550F06"/>
    <w:rsid w:val="00552FB8"/>
    <w:rsid w:val="00553151"/>
    <w:rsid w:val="00554837"/>
    <w:rsid w:val="00563B86"/>
    <w:rsid w:val="00564ADB"/>
    <w:rsid w:val="0056528B"/>
    <w:rsid w:val="005731E5"/>
    <w:rsid w:val="00573CE7"/>
    <w:rsid w:val="005755DC"/>
    <w:rsid w:val="005842B5"/>
    <w:rsid w:val="00584306"/>
    <w:rsid w:val="0058441F"/>
    <w:rsid w:val="005917AF"/>
    <w:rsid w:val="00591A32"/>
    <w:rsid w:val="00595FCD"/>
    <w:rsid w:val="005A083F"/>
    <w:rsid w:val="005A2D56"/>
    <w:rsid w:val="005A6275"/>
    <w:rsid w:val="005A627A"/>
    <w:rsid w:val="005A7228"/>
    <w:rsid w:val="005B046A"/>
    <w:rsid w:val="005B1F3B"/>
    <w:rsid w:val="005B26E2"/>
    <w:rsid w:val="005B7840"/>
    <w:rsid w:val="005B7BFE"/>
    <w:rsid w:val="005C0756"/>
    <w:rsid w:val="005C2598"/>
    <w:rsid w:val="005C3498"/>
    <w:rsid w:val="005C749B"/>
    <w:rsid w:val="005C78A1"/>
    <w:rsid w:val="005D03C5"/>
    <w:rsid w:val="005D349D"/>
    <w:rsid w:val="005E18FF"/>
    <w:rsid w:val="005E3C66"/>
    <w:rsid w:val="005F1FB3"/>
    <w:rsid w:val="005F3D98"/>
    <w:rsid w:val="005F72D9"/>
    <w:rsid w:val="005F7D47"/>
    <w:rsid w:val="005F7EFA"/>
    <w:rsid w:val="00602107"/>
    <w:rsid w:val="0060294A"/>
    <w:rsid w:val="00603FA0"/>
    <w:rsid w:val="0060408C"/>
    <w:rsid w:val="00607500"/>
    <w:rsid w:val="00611846"/>
    <w:rsid w:val="00611E92"/>
    <w:rsid w:val="0061755F"/>
    <w:rsid w:val="0062052C"/>
    <w:rsid w:val="00622AE7"/>
    <w:rsid w:val="006321E4"/>
    <w:rsid w:val="0063323D"/>
    <w:rsid w:val="0064149C"/>
    <w:rsid w:val="00643285"/>
    <w:rsid w:val="0064448B"/>
    <w:rsid w:val="00644A93"/>
    <w:rsid w:val="00651742"/>
    <w:rsid w:val="00651A66"/>
    <w:rsid w:val="00656510"/>
    <w:rsid w:val="006566B8"/>
    <w:rsid w:val="006572E9"/>
    <w:rsid w:val="00657405"/>
    <w:rsid w:val="0066205F"/>
    <w:rsid w:val="00663738"/>
    <w:rsid w:val="00663A04"/>
    <w:rsid w:val="00684143"/>
    <w:rsid w:val="00686711"/>
    <w:rsid w:val="00686D2B"/>
    <w:rsid w:val="00690562"/>
    <w:rsid w:val="00693CD0"/>
    <w:rsid w:val="00695973"/>
    <w:rsid w:val="00696966"/>
    <w:rsid w:val="006A3AB9"/>
    <w:rsid w:val="006A480D"/>
    <w:rsid w:val="006A6712"/>
    <w:rsid w:val="006B1DB4"/>
    <w:rsid w:val="006B302A"/>
    <w:rsid w:val="006B3951"/>
    <w:rsid w:val="006B5DC2"/>
    <w:rsid w:val="006B6866"/>
    <w:rsid w:val="006B7B3B"/>
    <w:rsid w:val="006C7885"/>
    <w:rsid w:val="006D05CF"/>
    <w:rsid w:val="006D0990"/>
    <w:rsid w:val="006D2E57"/>
    <w:rsid w:val="006D6E17"/>
    <w:rsid w:val="006D756A"/>
    <w:rsid w:val="006D7C10"/>
    <w:rsid w:val="006E5275"/>
    <w:rsid w:val="006F00E7"/>
    <w:rsid w:val="006F21A1"/>
    <w:rsid w:val="006F5DEB"/>
    <w:rsid w:val="006F6130"/>
    <w:rsid w:val="006F69E4"/>
    <w:rsid w:val="00702FEA"/>
    <w:rsid w:val="007057E1"/>
    <w:rsid w:val="007058DE"/>
    <w:rsid w:val="00713E5E"/>
    <w:rsid w:val="007173DA"/>
    <w:rsid w:val="0071740C"/>
    <w:rsid w:val="00722A8F"/>
    <w:rsid w:val="00723F4F"/>
    <w:rsid w:val="007255E6"/>
    <w:rsid w:val="00725C1D"/>
    <w:rsid w:val="00727120"/>
    <w:rsid w:val="007304B1"/>
    <w:rsid w:val="007317E0"/>
    <w:rsid w:val="00731839"/>
    <w:rsid w:val="00734226"/>
    <w:rsid w:val="00735F7B"/>
    <w:rsid w:val="00736B58"/>
    <w:rsid w:val="00741506"/>
    <w:rsid w:val="0074320D"/>
    <w:rsid w:val="00744CFE"/>
    <w:rsid w:val="007457D8"/>
    <w:rsid w:val="00753604"/>
    <w:rsid w:val="00755EF3"/>
    <w:rsid w:val="0076094A"/>
    <w:rsid w:val="00760EEC"/>
    <w:rsid w:val="0076730D"/>
    <w:rsid w:val="007779B2"/>
    <w:rsid w:val="007779F0"/>
    <w:rsid w:val="0078718C"/>
    <w:rsid w:val="00787724"/>
    <w:rsid w:val="007939EF"/>
    <w:rsid w:val="007969BF"/>
    <w:rsid w:val="007A2083"/>
    <w:rsid w:val="007A5EFD"/>
    <w:rsid w:val="007B3C31"/>
    <w:rsid w:val="007C111E"/>
    <w:rsid w:val="007C14D0"/>
    <w:rsid w:val="007C24BD"/>
    <w:rsid w:val="007D304C"/>
    <w:rsid w:val="007D5307"/>
    <w:rsid w:val="007D6772"/>
    <w:rsid w:val="007E1D6A"/>
    <w:rsid w:val="007E2E2B"/>
    <w:rsid w:val="007E6832"/>
    <w:rsid w:val="007E7CD3"/>
    <w:rsid w:val="007E7EA3"/>
    <w:rsid w:val="007F1194"/>
    <w:rsid w:val="007F2A95"/>
    <w:rsid w:val="00801BF5"/>
    <w:rsid w:val="00804A4B"/>
    <w:rsid w:val="00804EB8"/>
    <w:rsid w:val="00806591"/>
    <w:rsid w:val="00807026"/>
    <w:rsid w:val="008100BB"/>
    <w:rsid w:val="00812738"/>
    <w:rsid w:val="008171AE"/>
    <w:rsid w:val="0081748B"/>
    <w:rsid w:val="00820025"/>
    <w:rsid w:val="00823E6F"/>
    <w:rsid w:val="00826573"/>
    <w:rsid w:val="008302EA"/>
    <w:rsid w:val="00842B74"/>
    <w:rsid w:val="00843B87"/>
    <w:rsid w:val="00844631"/>
    <w:rsid w:val="008449ED"/>
    <w:rsid w:val="00847F12"/>
    <w:rsid w:val="008507D0"/>
    <w:rsid w:val="00851186"/>
    <w:rsid w:val="008518FE"/>
    <w:rsid w:val="00851989"/>
    <w:rsid w:val="00855FF2"/>
    <w:rsid w:val="00857704"/>
    <w:rsid w:val="00867E71"/>
    <w:rsid w:val="00870BB3"/>
    <w:rsid w:val="00871237"/>
    <w:rsid w:val="00871D57"/>
    <w:rsid w:val="008746AB"/>
    <w:rsid w:val="0087543F"/>
    <w:rsid w:val="0087615B"/>
    <w:rsid w:val="00877BEF"/>
    <w:rsid w:val="00877CF1"/>
    <w:rsid w:val="00883964"/>
    <w:rsid w:val="00883EBE"/>
    <w:rsid w:val="008856AB"/>
    <w:rsid w:val="00885F02"/>
    <w:rsid w:val="00886EBC"/>
    <w:rsid w:val="00887EF5"/>
    <w:rsid w:val="00895E6D"/>
    <w:rsid w:val="00896A81"/>
    <w:rsid w:val="00896F7E"/>
    <w:rsid w:val="008A04A4"/>
    <w:rsid w:val="008A4AE7"/>
    <w:rsid w:val="008B00D5"/>
    <w:rsid w:val="008C3EF4"/>
    <w:rsid w:val="008C57E4"/>
    <w:rsid w:val="008C68AE"/>
    <w:rsid w:val="008C7448"/>
    <w:rsid w:val="008C7B97"/>
    <w:rsid w:val="008D0A59"/>
    <w:rsid w:val="008D181C"/>
    <w:rsid w:val="008D5AAC"/>
    <w:rsid w:val="008D5F40"/>
    <w:rsid w:val="008D67FD"/>
    <w:rsid w:val="008D78AD"/>
    <w:rsid w:val="008E1CDF"/>
    <w:rsid w:val="008F2CA3"/>
    <w:rsid w:val="008F3887"/>
    <w:rsid w:val="008F69A4"/>
    <w:rsid w:val="009049D5"/>
    <w:rsid w:val="0090527E"/>
    <w:rsid w:val="00905B81"/>
    <w:rsid w:val="00907E3A"/>
    <w:rsid w:val="00910056"/>
    <w:rsid w:val="0091203B"/>
    <w:rsid w:val="009120AC"/>
    <w:rsid w:val="00917D2F"/>
    <w:rsid w:val="00922414"/>
    <w:rsid w:val="009234F8"/>
    <w:rsid w:val="0092611E"/>
    <w:rsid w:val="009350BE"/>
    <w:rsid w:val="009353B7"/>
    <w:rsid w:val="00936E75"/>
    <w:rsid w:val="00936FC5"/>
    <w:rsid w:val="009403C7"/>
    <w:rsid w:val="009404EA"/>
    <w:rsid w:val="009512FD"/>
    <w:rsid w:val="00951B92"/>
    <w:rsid w:val="00955719"/>
    <w:rsid w:val="00956DE5"/>
    <w:rsid w:val="00965BFA"/>
    <w:rsid w:val="0096630B"/>
    <w:rsid w:val="009666F6"/>
    <w:rsid w:val="00970D28"/>
    <w:rsid w:val="0097223B"/>
    <w:rsid w:val="00972D31"/>
    <w:rsid w:val="00972FD9"/>
    <w:rsid w:val="00973FBC"/>
    <w:rsid w:val="0097602F"/>
    <w:rsid w:val="0098080B"/>
    <w:rsid w:val="00980B81"/>
    <w:rsid w:val="00980C52"/>
    <w:rsid w:val="009825D8"/>
    <w:rsid w:val="00983812"/>
    <w:rsid w:val="00983F91"/>
    <w:rsid w:val="00985374"/>
    <w:rsid w:val="00985DBD"/>
    <w:rsid w:val="0099001A"/>
    <w:rsid w:val="00991486"/>
    <w:rsid w:val="009932CA"/>
    <w:rsid w:val="009A06D8"/>
    <w:rsid w:val="009A488E"/>
    <w:rsid w:val="009A5E05"/>
    <w:rsid w:val="009B39EC"/>
    <w:rsid w:val="009C4A87"/>
    <w:rsid w:val="009C5D8E"/>
    <w:rsid w:val="009C6A54"/>
    <w:rsid w:val="009C6FC5"/>
    <w:rsid w:val="009C70A0"/>
    <w:rsid w:val="009D052A"/>
    <w:rsid w:val="009D21C0"/>
    <w:rsid w:val="009D55AB"/>
    <w:rsid w:val="009D7B7B"/>
    <w:rsid w:val="009D7D48"/>
    <w:rsid w:val="009E5D6E"/>
    <w:rsid w:val="009F1FA3"/>
    <w:rsid w:val="009F5DA2"/>
    <w:rsid w:val="009F70C1"/>
    <w:rsid w:val="00A100B7"/>
    <w:rsid w:val="00A155B0"/>
    <w:rsid w:val="00A3054D"/>
    <w:rsid w:val="00A350A9"/>
    <w:rsid w:val="00A35DAE"/>
    <w:rsid w:val="00A377C1"/>
    <w:rsid w:val="00A4027D"/>
    <w:rsid w:val="00A4083C"/>
    <w:rsid w:val="00A437CA"/>
    <w:rsid w:val="00A44714"/>
    <w:rsid w:val="00A453CA"/>
    <w:rsid w:val="00A45631"/>
    <w:rsid w:val="00A45AB7"/>
    <w:rsid w:val="00A53D5E"/>
    <w:rsid w:val="00A53EEB"/>
    <w:rsid w:val="00A601E7"/>
    <w:rsid w:val="00A6150E"/>
    <w:rsid w:val="00A62344"/>
    <w:rsid w:val="00A64CA9"/>
    <w:rsid w:val="00A6597C"/>
    <w:rsid w:val="00A66293"/>
    <w:rsid w:val="00A70B9F"/>
    <w:rsid w:val="00A75F97"/>
    <w:rsid w:val="00A77DD3"/>
    <w:rsid w:val="00A87DC4"/>
    <w:rsid w:val="00A907DF"/>
    <w:rsid w:val="00A937FE"/>
    <w:rsid w:val="00A9574D"/>
    <w:rsid w:val="00A95A3A"/>
    <w:rsid w:val="00AA1C22"/>
    <w:rsid w:val="00AA2037"/>
    <w:rsid w:val="00AA2C4A"/>
    <w:rsid w:val="00AB081B"/>
    <w:rsid w:val="00AB1044"/>
    <w:rsid w:val="00AB1CD5"/>
    <w:rsid w:val="00AB635A"/>
    <w:rsid w:val="00AB77C9"/>
    <w:rsid w:val="00AC10BB"/>
    <w:rsid w:val="00AC1460"/>
    <w:rsid w:val="00AC187E"/>
    <w:rsid w:val="00AC75BC"/>
    <w:rsid w:val="00AD09AE"/>
    <w:rsid w:val="00AD4529"/>
    <w:rsid w:val="00AD72B3"/>
    <w:rsid w:val="00AE1AC1"/>
    <w:rsid w:val="00AE344D"/>
    <w:rsid w:val="00AE3E52"/>
    <w:rsid w:val="00AE721F"/>
    <w:rsid w:val="00AE7368"/>
    <w:rsid w:val="00AE7AD2"/>
    <w:rsid w:val="00AF1FD3"/>
    <w:rsid w:val="00AF29C0"/>
    <w:rsid w:val="00AF343E"/>
    <w:rsid w:val="00AF63C3"/>
    <w:rsid w:val="00B000EF"/>
    <w:rsid w:val="00B01384"/>
    <w:rsid w:val="00B044D3"/>
    <w:rsid w:val="00B06B5A"/>
    <w:rsid w:val="00B13520"/>
    <w:rsid w:val="00B22BFF"/>
    <w:rsid w:val="00B22F9A"/>
    <w:rsid w:val="00B24B7D"/>
    <w:rsid w:val="00B24D28"/>
    <w:rsid w:val="00B30518"/>
    <w:rsid w:val="00B3448C"/>
    <w:rsid w:val="00B3474B"/>
    <w:rsid w:val="00B369C2"/>
    <w:rsid w:val="00B41F89"/>
    <w:rsid w:val="00B43116"/>
    <w:rsid w:val="00B478A3"/>
    <w:rsid w:val="00B528B0"/>
    <w:rsid w:val="00B52B3D"/>
    <w:rsid w:val="00B53946"/>
    <w:rsid w:val="00B53CD2"/>
    <w:rsid w:val="00B54695"/>
    <w:rsid w:val="00B602E0"/>
    <w:rsid w:val="00B60925"/>
    <w:rsid w:val="00B61F69"/>
    <w:rsid w:val="00B63454"/>
    <w:rsid w:val="00B66399"/>
    <w:rsid w:val="00B72E28"/>
    <w:rsid w:val="00B81096"/>
    <w:rsid w:val="00B8116D"/>
    <w:rsid w:val="00B84E6A"/>
    <w:rsid w:val="00B91EC3"/>
    <w:rsid w:val="00B922BC"/>
    <w:rsid w:val="00B9276A"/>
    <w:rsid w:val="00B9626C"/>
    <w:rsid w:val="00BA0549"/>
    <w:rsid w:val="00BA0E91"/>
    <w:rsid w:val="00BA1A7B"/>
    <w:rsid w:val="00BA472A"/>
    <w:rsid w:val="00BB0D45"/>
    <w:rsid w:val="00BB1E3D"/>
    <w:rsid w:val="00BB34E3"/>
    <w:rsid w:val="00BB3A50"/>
    <w:rsid w:val="00BC0ADC"/>
    <w:rsid w:val="00BC40B3"/>
    <w:rsid w:val="00BC55CA"/>
    <w:rsid w:val="00BD0A87"/>
    <w:rsid w:val="00BD13E2"/>
    <w:rsid w:val="00BD27AA"/>
    <w:rsid w:val="00BD2F3C"/>
    <w:rsid w:val="00BD6A85"/>
    <w:rsid w:val="00BD70A8"/>
    <w:rsid w:val="00BE074D"/>
    <w:rsid w:val="00BE1E76"/>
    <w:rsid w:val="00BE33E0"/>
    <w:rsid w:val="00BE49D3"/>
    <w:rsid w:val="00BE5B6F"/>
    <w:rsid w:val="00BF09C5"/>
    <w:rsid w:val="00BF15EE"/>
    <w:rsid w:val="00BF3983"/>
    <w:rsid w:val="00BF4341"/>
    <w:rsid w:val="00BF4D1F"/>
    <w:rsid w:val="00C0222F"/>
    <w:rsid w:val="00C02CA7"/>
    <w:rsid w:val="00C04428"/>
    <w:rsid w:val="00C12C20"/>
    <w:rsid w:val="00C12F8F"/>
    <w:rsid w:val="00C13B51"/>
    <w:rsid w:val="00C17B94"/>
    <w:rsid w:val="00C20747"/>
    <w:rsid w:val="00C21419"/>
    <w:rsid w:val="00C22732"/>
    <w:rsid w:val="00C25FE0"/>
    <w:rsid w:val="00C30CD0"/>
    <w:rsid w:val="00C33990"/>
    <w:rsid w:val="00C353C3"/>
    <w:rsid w:val="00C43F45"/>
    <w:rsid w:val="00C44757"/>
    <w:rsid w:val="00C46277"/>
    <w:rsid w:val="00C5193D"/>
    <w:rsid w:val="00C54252"/>
    <w:rsid w:val="00C54C92"/>
    <w:rsid w:val="00C561B6"/>
    <w:rsid w:val="00C610CB"/>
    <w:rsid w:val="00C71EF2"/>
    <w:rsid w:val="00C74042"/>
    <w:rsid w:val="00C777D2"/>
    <w:rsid w:val="00C94CA5"/>
    <w:rsid w:val="00C955CE"/>
    <w:rsid w:val="00C9792E"/>
    <w:rsid w:val="00CA2C48"/>
    <w:rsid w:val="00CA7A23"/>
    <w:rsid w:val="00CA7F14"/>
    <w:rsid w:val="00CB00E6"/>
    <w:rsid w:val="00CB19C7"/>
    <w:rsid w:val="00CB1A01"/>
    <w:rsid w:val="00CB3C55"/>
    <w:rsid w:val="00CB604B"/>
    <w:rsid w:val="00CC1B9D"/>
    <w:rsid w:val="00CD145F"/>
    <w:rsid w:val="00CD3F88"/>
    <w:rsid w:val="00CD66D3"/>
    <w:rsid w:val="00CD71C4"/>
    <w:rsid w:val="00CD78CE"/>
    <w:rsid w:val="00CE0E0F"/>
    <w:rsid w:val="00CE161D"/>
    <w:rsid w:val="00CF1990"/>
    <w:rsid w:val="00CF1AB5"/>
    <w:rsid w:val="00CF58BA"/>
    <w:rsid w:val="00CF5F16"/>
    <w:rsid w:val="00CF7F24"/>
    <w:rsid w:val="00D00C8D"/>
    <w:rsid w:val="00D0215B"/>
    <w:rsid w:val="00D02F83"/>
    <w:rsid w:val="00D03FA7"/>
    <w:rsid w:val="00D03FE9"/>
    <w:rsid w:val="00D055D4"/>
    <w:rsid w:val="00D05B23"/>
    <w:rsid w:val="00D0669C"/>
    <w:rsid w:val="00D074F1"/>
    <w:rsid w:val="00D07D17"/>
    <w:rsid w:val="00D1153C"/>
    <w:rsid w:val="00D120FE"/>
    <w:rsid w:val="00D142AA"/>
    <w:rsid w:val="00D148EC"/>
    <w:rsid w:val="00D17216"/>
    <w:rsid w:val="00D1723F"/>
    <w:rsid w:val="00D2216A"/>
    <w:rsid w:val="00D2310C"/>
    <w:rsid w:val="00D23BE6"/>
    <w:rsid w:val="00D25376"/>
    <w:rsid w:val="00D30521"/>
    <w:rsid w:val="00D31A68"/>
    <w:rsid w:val="00D42C4C"/>
    <w:rsid w:val="00D51CAE"/>
    <w:rsid w:val="00D51F22"/>
    <w:rsid w:val="00D536D5"/>
    <w:rsid w:val="00D53CDC"/>
    <w:rsid w:val="00D55949"/>
    <w:rsid w:val="00D56FF3"/>
    <w:rsid w:val="00D607DB"/>
    <w:rsid w:val="00D634A4"/>
    <w:rsid w:val="00D6592F"/>
    <w:rsid w:val="00D71C0C"/>
    <w:rsid w:val="00D7408C"/>
    <w:rsid w:val="00D753EB"/>
    <w:rsid w:val="00D846C0"/>
    <w:rsid w:val="00D8759D"/>
    <w:rsid w:val="00D87CE4"/>
    <w:rsid w:val="00D92E72"/>
    <w:rsid w:val="00DA0E13"/>
    <w:rsid w:val="00DB051E"/>
    <w:rsid w:val="00DB2528"/>
    <w:rsid w:val="00DB2AD6"/>
    <w:rsid w:val="00DB3172"/>
    <w:rsid w:val="00DB3F15"/>
    <w:rsid w:val="00DB7111"/>
    <w:rsid w:val="00DC1363"/>
    <w:rsid w:val="00DC242D"/>
    <w:rsid w:val="00DC71AF"/>
    <w:rsid w:val="00DC71C1"/>
    <w:rsid w:val="00DE1BE5"/>
    <w:rsid w:val="00DE1DF8"/>
    <w:rsid w:val="00DE3047"/>
    <w:rsid w:val="00DE66DF"/>
    <w:rsid w:val="00E01D3E"/>
    <w:rsid w:val="00E01F99"/>
    <w:rsid w:val="00E04916"/>
    <w:rsid w:val="00E05B44"/>
    <w:rsid w:val="00E06350"/>
    <w:rsid w:val="00E07241"/>
    <w:rsid w:val="00E07F4B"/>
    <w:rsid w:val="00E131B3"/>
    <w:rsid w:val="00E15039"/>
    <w:rsid w:val="00E17389"/>
    <w:rsid w:val="00E2131E"/>
    <w:rsid w:val="00E25D03"/>
    <w:rsid w:val="00E273A9"/>
    <w:rsid w:val="00E34E56"/>
    <w:rsid w:val="00E368E0"/>
    <w:rsid w:val="00E5028D"/>
    <w:rsid w:val="00E54AC8"/>
    <w:rsid w:val="00E5569B"/>
    <w:rsid w:val="00E61AF4"/>
    <w:rsid w:val="00E61BAD"/>
    <w:rsid w:val="00E61CE5"/>
    <w:rsid w:val="00E63675"/>
    <w:rsid w:val="00E64BEB"/>
    <w:rsid w:val="00E7281D"/>
    <w:rsid w:val="00E73B28"/>
    <w:rsid w:val="00E80639"/>
    <w:rsid w:val="00E832F8"/>
    <w:rsid w:val="00E84F6E"/>
    <w:rsid w:val="00E90F8B"/>
    <w:rsid w:val="00E91ED5"/>
    <w:rsid w:val="00E95222"/>
    <w:rsid w:val="00E95813"/>
    <w:rsid w:val="00EA01F6"/>
    <w:rsid w:val="00EA220A"/>
    <w:rsid w:val="00EA37F3"/>
    <w:rsid w:val="00EA3A39"/>
    <w:rsid w:val="00EA72A9"/>
    <w:rsid w:val="00EA7D8E"/>
    <w:rsid w:val="00EB1868"/>
    <w:rsid w:val="00EB2975"/>
    <w:rsid w:val="00EB29C8"/>
    <w:rsid w:val="00EC5839"/>
    <w:rsid w:val="00EC5E0E"/>
    <w:rsid w:val="00EC6D98"/>
    <w:rsid w:val="00ED0F0A"/>
    <w:rsid w:val="00ED5A67"/>
    <w:rsid w:val="00EE1104"/>
    <w:rsid w:val="00EE35F1"/>
    <w:rsid w:val="00EE4506"/>
    <w:rsid w:val="00EE5C74"/>
    <w:rsid w:val="00EF4998"/>
    <w:rsid w:val="00EF4CF0"/>
    <w:rsid w:val="00EF5213"/>
    <w:rsid w:val="00EF7CFE"/>
    <w:rsid w:val="00EF7FC2"/>
    <w:rsid w:val="00F00A31"/>
    <w:rsid w:val="00F021A6"/>
    <w:rsid w:val="00F12223"/>
    <w:rsid w:val="00F1679D"/>
    <w:rsid w:val="00F20A82"/>
    <w:rsid w:val="00F21C2B"/>
    <w:rsid w:val="00F2384B"/>
    <w:rsid w:val="00F24AF5"/>
    <w:rsid w:val="00F25F08"/>
    <w:rsid w:val="00F26F2D"/>
    <w:rsid w:val="00F35CB3"/>
    <w:rsid w:val="00F401A1"/>
    <w:rsid w:val="00F42DA8"/>
    <w:rsid w:val="00F51EF1"/>
    <w:rsid w:val="00F60249"/>
    <w:rsid w:val="00F70A08"/>
    <w:rsid w:val="00F70B90"/>
    <w:rsid w:val="00F70F5F"/>
    <w:rsid w:val="00F74E3E"/>
    <w:rsid w:val="00F7537D"/>
    <w:rsid w:val="00F754DB"/>
    <w:rsid w:val="00F82963"/>
    <w:rsid w:val="00F85D72"/>
    <w:rsid w:val="00F8697B"/>
    <w:rsid w:val="00F90A8B"/>
    <w:rsid w:val="00F92305"/>
    <w:rsid w:val="00F9695E"/>
    <w:rsid w:val="00FA49E9"/>
    <w:rsid w:val="00FB4FD4"/>
    <w:rsid w:val="00FB7F1F"/>
    <w:rsid w:val="00FD7D1D"/>
    <w:rsid w:val="00FE1108"/>
    <w:rsid w:val="00FE6A25"/>
    <w:rsid w:val="00FE77D3"/>
    <w:rsid w:val="00FF198D"/>
    <w:rsid w:val="00FF30F5"/>
    <w:rsid w:val="00FF57ED"/>
    <w:rsid w:val="00FF6B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A714"/>
  <w15:chartTrackingRefBased/>
  <w15:docId w15:val="{EC8C50AC-DDAA-499C-8E6E-08BDE685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7E"/>
    <w:pPr>
      <w:spacing w:before="120" w:after="120" w:line="240" w:lineRule="auto"/>
      <w:ind w:left="720"/>
      <w:jc w:val="both"/>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numPr>
        <w:numId w:val="2"/>
      </w:numPr>
      <w:spacing w:before="240" w:after="240"/>
      <w:ind w:left="720" w:hanging="72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2"/>
      </w:numPr>
      <w:spacing w:before="240" w:after="0"/>
      <w:outlineLvl w:val="1"/>
    </w:pPr>
    <w:rPr>
      <w:rFonts w:asciiTheme="majorHAnsi" w:eastAsiaTheme="majorEastAsia" w:hAnsiTheme="majorHAnsi" w:cstheme="majorBidi"/>
      <w:color w:val="3494BA" w:themeColor="accent1"/>
      <w:sz w:val="28"/>
      <w:szCs w:val="26"/>
    </w:rPr>
  </w:style>
  <w:style w:type="paragraph" w:styleId="Heading3">
    <w:name w:val="heading 3"/>
    <w:basedOn w:val="Normal"/>
    <w:next w:val="Normal"/>
    <w:link w:val="Heading3Char"/>
    <w:uiPriority w:val="9"/>
    <w:unhideWhenUsed/>
    <w:qFormat/>
    <w:rsid w:val="00CE0E0F"/>
    <w:pPr>
      <w:keepNext/>
      <w:keepLines/>
      <w:numPr>
        <w:ilvl w:val="2"/>
        <w:numId w:val="2"/>
      </w:numPr>
      <w:spacing w:after="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rsid w:val="00D07D17"/>
    <w:pPr>
      <w:keepNext/>
      <w:keepLines/>
      <w:numPr>
        <w:ilvl w:val="3"/>
        <w:numId w:val="2"/>
      </w:numPr>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rsid w:val="00D07D17"/>
    <w:pPr>
      <w:keepNext/>
      <w:keepLines/>
      <w:numPr>
        <w:ilvl w:val="4"/>
        <w:numId w:val="2"/>
      </w:numPr>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2"/>
      </w:numPr>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2"/>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spacing w:after="0"/>
    </w:pPr>
  </w:style>
  <w:style w:type="character" w:customStyle="1" w:styleId="HeaderChar">
    <w:name w:val="Header Char"/>
    <w:basedOn w:val="DefaultParagraphFont"/>
    <w:link w:val="Header"/>
    <w:uiPriority w:val="99"/>
    <w:rsid w:val="000D0039"/>
  </w:style>
  <w:style w:type="paragraph" w:styleId="Footer">
    <w:name w:val="footer"/>
    <w:basedOn w:val="Normal"/>
    <w:link w:val="FooterChar"/>
    <w:uiPriority w:val="99"/>
    <w:unhideWhenUsed/>
    <w:rsid w:val="000D0039"/>
    <w:pPr>
      <w:tabs>
        <w:tab w:val="center" w:pos="4536"/>
        <w:tab w:val="right" w:pos="9072"/>
      </w:tabs>
      <w:spacing w:after="0"/>
    </w:pPr>
  </w:style>
  <w:style w:type="character" w:customStyle="1" w:styleId="FooterChar">
    <w:name w:val="Footer Char"/>
    <w:basedOn w:val="DefaultParagraphFont"/>
    <w:link w:val="Footer"/>
    <w:uiPriority w:val="99"/>
    <w:rsid w:val="000D0039"/>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347BEF"/>
    <w:pPr>
      <w:contextualSpacing/>
    </w:pPr>
  </w:style>
  <w:style w:type="paragraph" w:styleId="BalloonText">
    <w:name w:val="Balloon Text"/>
    <w:basedOn w:val="Normal"/>
    <w:link w:val="BalloonTextChar"/>
    <w:uiPriority w:val="99"/>
    <w:semiHidden/>
    <w:unhideWhenUsed/>
    <w:rsid w:val="009A5E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1"/>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2B3CF9"/>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1Char">
    <w:name w:val="paragraf1 Char"/>
    <w:basedOn w:val="Heading3Char"/>
    <w:link w:val="paragraf1"/>
    <w:rsid w:val="002B3CF9"/>
    <w:rPr>
      <w:rFonts w:asciiTheme="majorHAnsi" w:eastAsiaTheme="majorEastAsia" w:hAnsiTheme="majorHAnsi" w:cstheme="minorHAnsi"/>
      <w:b w:val="0"/>
      <w:color w:val="3494BA" w:themeColor="accent1"/>
      <w:sz w:val="24"/>
      <w:szCs w:val="24"/>
    </w:rPr>
  </w:style>
  <w:style w:type="paragraph" w:customStyle="1" w:styleId="Criteriu">
    <w:name w:val="Criteriu"/>
    <w:basedOn w:val="ListParagraph"/>
    <w:link w:val="CriteriuChar"/>
    <w:qFormat/>
    <w:rsid w:val="00E07241"/>
    <w:pPr>
      <w:numPr>
        <w:numId w:val="3"/>
      </w:numPr>
      <w:spacing w:before="480"/>
    </w:pPr>
    <w:rPr>
      <w:b/>
    </w:rPr>
  </w:style>
  <w:style w:type="character" w:customStyle="1" w:styleId="CriteriuChar">
    <w:name w:val="Criteriu Char"/>
    <w:basedOn w:val="DefaultParagraphFont"/>
    <w:link w:val="Criteriu"/>
    <w:rsid w:val="00E07241"/>
    <w:rPr>
      <w:b/>
    </w:rPr>
  </w:style>
  <w:style w:type="table" w:styleId="ListTable2-Accent5">
    <w:name w:val="List Table 2 Accent 5"/>
    <w:basedOn w:val="TableNormal"/>
    <w:uiPriority w:val="47"/>
    <w:rsid w:val="002D466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1">
    <w:name w:val="Grid Table 4 Accent 1"/>
    <w:basedOn w:val="TableNormal"/>
    <w:uiPriority w:val="49"/>
    <w:rsid w:val="00A100B7"/>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TOC1">
    <w:name w:val="toc 1"/>
    <w:basedOn w:val="Normal"/>
    <w:next w:val="Normal"/>
    <w:autoRedefine/>
    <w:uiPriority w:val="39"/>
    <w:unhideWhenUsed/>
    <w:rsid w:val="00133D31"/>
    <w:pPr>
      <w:spacing w:after="100"/>
    </w:pPr>
  </w:style>
  <w:style w:type="character" w:styleId="Hyperlink">
    <w:name w:val="Hyperlink"/>
    <w:basedOn w:val="DefaultParagraphFont"/>
    <w:uiPriority w:val="99"/>
    <w:unhideWhenUsed/>
    <w:rsid w:val="00734226"/>
    <w:rPr>
      <w:color w:val="6B9F25" w:themeColor="hyperlink"/>
      <w:u w:val="single"/>
    </w:rPr>
  </w:style>
  <w:style w:type="paragraph" w:styleId="TOC3">
    <w:name w:val="toc 3"/>
    <w:basedOn w:val="Normal"/>
    <w:next w:val="Normal"/>
    <w:autoRedefine/>
    <w:uiPriority w:val="39"/>
    <w:unhideWhenUsed/>
    <w:rsid w:val="00133D31"/>
    <w:pPr>
      <w:spacing w:after="100"/>
      <w:ind w:left="1304"/>
    </w:pPr>
  </w:style>
  <w:style w:type="paragraph" w:styleId="TOC2">
    <w:name w:val="toc 2"/>
    <w:basedOn w:val="Normal"/>
    <w:next w:val="Normal"/>
    <w:autoRedefine/>
    <w:uiPriority w:val="39"/>
    <w:unhideWhenUsed/>
    <w:rsid w:val="00133D31"/>
    <w:pPr>
      <w:spacing w:after="100"/>
      <w:ind w:left="1134"/>
    </w:pPr>
  </w:style>
  <w:style w:type="paragraph" w:styleId="TOC4">
    <w:name w:val="toc 4"/>
    <w:basedOn w:val="Normal"/>
    <w:next w:val="Normal"/>
    <w:autoRedefine/>
    <w:uiPriority w:val="39"/>
    <w:unhideWhenUsed/>
    <w:rsid w:val="00734226"/>
    <w:pPr>
      <w:spacing w:after="100"/>
      <w:ind w:left="660"/>
    </w:pPr>
    <w:rPr>
      <w:rFonts w:eastAsiaTheme="minorEastAsia"/>
      <w:lang w:eastAsia="ro-RO"/>
    </w:rPr>
  </w:style>
  <w:style w:type="paragraph" w:styleId="TOC5">
    <w:name w:val="toc 5"/>
    <w:basedOn w:val="Normal"/>
    <w:next w:val="Normal"/>
    <w:autoRedefine/>
    <w:uiPriority w:val="39"/>
    <w:unhideWhenUsed/>
    <w:rsid w:val="00734226"/>
    <w:pPr>
      <w:spacing w:after="100"/>
      <w:ind w:left="880"/>
    </w:pPr>
    <w:rPr>
      <w:rFonts w:eastAsiaTheme="minorEastAsia"/>
      <w:lang w:eastAsia="ro-RO"/>
    </w:rPr>
  </w:style>
  <w:style w:type="paragraph" w:styleId="TOC6">
    <w:name w:val="toc 6"/>
    <w:basedOn w:val="Normal"/>
    <w:next w:val="Normal"/>
    <w:autoRedefine/>
    <w:uiPriority w:val="39"/>
    <w:unhideWhenUsed/>
    <w:rsid w:val="00734226"/>
    <w:pPr>
      <w:spacing w:after="100"/>
      <w:ind w:left="1100"/>
    </w:pPr>
    <w:rPr>
      <w:rFonts w:eastAsiaTheme="minorEastAsia"/>
      <w:lang w:eastAsia="ro-RO"/>
    </w:rPr>
  </w:style>
  <w:style w:type="paragraph" w:styleId="TOC7">
    <w:name w:val="toc 7"/>
    <w:basedOn w:val="Normal"/>
    <w:next w:val="Normal"/>
    <w:autoRedefine/>
    <w:uiPriority w:val="39"/>
    <w:unhideWhenUsed/>
    <w:rsid w:val="00734226"/>
    <w:pPr>
      <w:spacing w:after="100"/>
      <w:ind w:left="1320"/>
    </w:pPr>
    <w:rPr>
      <w:rFonts w:eastAsiaTheme="minorEastAsia"/>
      <w:lang w:eastAsia="ro-RO"/>
    </w:rPr>
  </w:style>
  <w:style w:type="paragraph" w:styleId="TOC8">
    <w:name w:val="toc 8"/>
    <w:basedOn w:val="Normal"/>
    <w:next w:val="Normal"/>
    <w:autoRedefine/>
    <w:uiPriority w:val="39"/>
    <w:unhideWhenUsed/>
    <w:rsid w:val="00734226"/>
    <w:pPr>
      <w:spacing w:after="100"/>
      <w:ind w:left="1540"/>
    </w:pPr>
    <w:rPr>
      <w:rFonts w:eastAsiaTheme="minorEastAsia"/>
      <w:lang w:eastAsia="ro-RO"/>
    </w:rPr>
  </w:style>
  <w:style w:type="paragraph" w:styleId="TOC9">
    <w:name w:val="toc 9"/>
    <w:basedOn w:val="Normal"/>
    <w:next w:val="Normal"/>
    <w:autoRedefine/>
    <w:uiPriority w:val="39"/>
    <w:unhideWhenUsed/>
    <w:rsid w:val="00734226"/>
    <w:pPr>
      <w:spacing w:after="100"/>
      <w:ind w:left="1760"/>
    </w:pPr>
    <w:rPr>
      <w:rFonts w:eastAsiaTheme="minorEastAsia"/>
      <w:lang w:eastAsia="ro-RO"/>
    </w:rPr>
  </w:style>
  <w:style w:type="character" w:customStyle="1" w:styleId="UnresolvedMention1">
    <w:name w:val="Unresolved Mention1"/>
    <w:basedOn w:val="DefaultParagraphFont"/>
    <w:uiPriority w:val="99"/>
    <w:semiHidden/>
    <w:unhideWhenUsed/>
    <w:rsid w:val="00734226"/>
    <w:rPr>
      <w:color w:val="605E5C"/>
      <w:shd w:val="clear" w:color="auto" w:fill="E1DFDD"/>
    </w:rPr>
  </w:style>
  <w:style w:type="paragraph" w:customStyle="1" w:styleId="Instituie">
    <w:name w:val="Instituție"/>
    <w:basedOn w:val="Normal"/>
    <w:link w:val="InstituieChar"/>
    <w:qFormat/>
    <w:rsid w:val="00E368E0"/>
    <w:rPr>
      <w:rFonts w:ascii="Trajan Pro" w:eastAsia="Calibri" w:hAnsi="Trajan Pro"/>
      <w:sz w:val="32"/>
      <w:szCs w:val="32"/>
    </w:rPr>
  </w:style>
  <w:style w:type="character" w:customStyle="1" w:styleId="InstituieChar">
    <w:name w:val="Instituție Char"/>
    <w:link w:val="Instituie"/>
    <w:rsid w:val="00E368E0"/>
    <w:rPr>
      <w:rFonts w:ascii="Trajan Pro" w:eastAsia="Calibri" w:hAnsi="Trajan Pro" w:cs="Times New Roman"/>
      <w:sz w:val="32"/>
      <w:szCs w:val="32"/>
    </w:rPr>
  </w:style>
  <w:style w:type="paragraph" w:styleId="TOCHeading">
    <w:name w:val="TOC Heading"/>
    <w:basedOn w:val="Heading1"/>
    <w:next w:val="Normal"/>
    <w:uiPriority w:val="39"/>
    <w:unhideWhenUsed/>
    <w:qFormat/>
    <w:rsid w:val="00133D31"/>
    <w:pPr>
      <w:numPr>
        <w:numId w:val="0"/>
      </w:numPr>
      <w:spacing w:after="0" w:line="259" w:lineRule="auto"/>
      <w:jc w:val="left"/>
      <w:outlineLvl w:val="9"/>
    </w:pPr>
    <w:rPr>
      <w:color w:val="276E8B" w:themeColor="accent1" w:themeShade="BF"/>
      <w:lang w:val="en-US"/>
    </w:rPr>
  </w:style>
  <w:style w:type="paragraph" w:customStyle="1" w:styleId="PTJ-header">
    <w:name w:val="PTJ-header"/>
    <w:basedOn w:val="Header"/>
    <w:link w:val="PTJ-headerChar"/>
    <w:qFormat/>
    <w:rsid w:val="00D607DB"/>
    <w:pPr>
      <w:spacing w:before="0" w:line="180" w:lineRule="exact"/>
      <w:ind w:left="0"/>
    </w:pPr>
    <w:rPr>
      <w:rFonts w:asciiTheme="majorHAnsi" w:hAnsiTheme="majorHAnsi" w:cstheme="majorHAnsi"/>
      <w:color w:val="3494BA" w:themeColor="accent1"/>
      <w:spacing w:val="-12"/>
      <w:lang w:val="en-US"/>
    </w:rPr>
  </w:style>
  <w:style w:type="paragraph" w:customStyle="1" w:styleId="PTJ-logo">
    <w:name w:val="PTJ-logo"/>
    <w:basedOn w:val="Normal"/>
    <w:link w:val="PTJ-logoChar"/>
    <w:qFormat/>
    <w:rsid w:val="00550F06"/>
    <w:pPr>
      <w:pBdr>
        <w:left w:val="single" w:sz="4" w:space="4" w:color="3494BA" w:themeColor="accent1"/>
      </w:pBdr>
      <w:spacing w:before="0" w:after="0" w:line="420" w:lineRule="exact"/>
      <w:ind w:left="7088" w:right="-851"/>
    </w:pPr>
    <w:rPr>
      <w:rFonts w:asciiTheme="majorHAnsi" w:hAnsiTheme="majorHAnsi" w:cstheme="majorHAnsi"/>
      <w:color w:val="3494BA" w:themeColor="accent1"/>
      <w:spacing w:val="-40"/>
      <w:sz w:val="56"/>
      <w:szCs w:val="56"/>
    </w:rPr>
  </w:style>
  <w:style w:type="character" w:customStyle="1" w:styleId="PTJ-headerChar">
    <w:name w:val="PTJ-header Char"/>
    <w:basedOn w:val="HeaderChar"/>
    <w:link w:val="PTJ-header"/>
    <w:rsid w:val="00D607DB"/>
    <w:rPr>
      <w:rFonts w:asciiTheme="majorHAnsi" w:hAnsiTheme="majorHAnsi" w:cstheme="majorHAnsi"/>
      <w:color w:val="3494BA" w:themeColor="accent1"/>
      <w:spacing w:val="-12"/>
      <w:lang w:val="en-US"/>
    </w:rPr>
  </w:style>
  <w:style w:type="paragraph" w:customStyle="1" w:styleId="GS-cover">
    <w:name w:val="GS-cover"/>
    <w:basedOn w:val="Normal"/>
    <w:link w:val="GS-coverChar"/>
    <w:qFormat/>
    <w:rsid w:val="0071740C"/>
    <w:pPr>
      <w:spacing w:before="0" w:after="0" w:line="800" w:lineRule="exact"/>
    </w:pPr>
    <w:rPr>
      <w:rFonts w:asciiTheme="majorHAnsi" w:hAnsiTheme="majorHAnsi" w:cstheme="majorHAnsi"/>
      <w:b/>
      <w:color w:val="3494BA" w:themeColor="accent1"/>
      <w:sz w:val="96"/>
      <w:szCs w:val="96"/>
    </w:rPr>
  </w:style>
  <w:style w:type="character" w:customStyle="1" w:styleId="PTJ-logoChar">
    <w:name w:val="PTJ-logo Char"/>
    <w:basedOn w:val="DefaultParagraphFont"/>
    <w:link w:val="PTJ-logo"/>
    <w:rsid w:val="00550F06"/>
    <w:rPr>
      <w:rFonts w:asciiTheme="majorHAnsi" w:hAnsiTheme="majorHAnsi" w:cstheme="majorHAnsi"/>
      <w:color w:val="3494BA" w:themeColor="accent1"/>
      <w:spacing w:val="-40"/>
      <w:sz w:val="56"/>
      <w:szCs w:val="56"/>
    </w:rPr>
  </w:style>
  <w:style w:type="character" w:customStyle="1" w:styleId="GS-coverChar">
    <w:name w:val="GS-cover Char"/>
    <w:basedOn w:val="DefaultParagraphFont"/>
    <w:link w:val="GS-cover"/>
    <w:rsid w:val="0071740C"/>
    <w:rPr>
      <w:rFonts w:asciiTheme="majorHAnsi" w:hAnsiTheme="majorHAnsi" w:cstheme="majorHAnsi"/>
      <w:b/>
      <w:color w:val="3494BA" w:themeColor="accent1"/>
      <w:sz w:val="96"/>
      <w:szCs w:val="9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unhideWhenUsed/>
    <w:rsid w:val="00D03FE9"/>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D03FE9"/>
    <w:rPr>
      <w:rFonts w:ascii="Calibri" w:eastAsia="Times New Roman" w:hAnsi="Calibri"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D03FE9"/>
    <w:rPr>
      <w:vertAlign w:val="superscript"/>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rsid w:val="00D03FE9"/>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D03FE9"/>
    <w:pPr>
      <w:spacing w:after="160" w:line="240" w:lineRule="exact"/>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sid w:val="00167811"/>
    <w:rPr>
      <w:sz w:val="16"/>
      <w:szCs w:val="16"/>
    </w:rPr>
  </w:style>
  <w:style w:type="paragraph" w:styleId="CommentText">
    <w:name w:val="annotation text"/>
    <w:basedOn w:val="Normal"/>
    <w:link w:val="CommentTextChar"/>
    <w:uiPriority w:val="99"/>
    <w:semiHidden/>
    <w:unhideWhenUsed/>
    <w:rsid w:val="00167811"/>
    <w:rPr>
      <w:sz w:val="20"/>
      <w:szCs w:val="20"/>
    </w:rPr>
  </w:style>
  <w:style w:type="character" w:customStyle="1" w:styleId="CommentTextChar">
    <w:name w:val="Comment Text Char"/>
    <w:basedOn w:val="DefaultParagraphFont"/>
    <w:link w:val="CommentText"/>
    <w:uiPriority w:val="99"/>
    <w:semiHidden/>
    <w:rsid w:val="001678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7811"/>
    <w:rPr>
      <w:b/>
      <w:bCs/>
    </w:rPr>
  </w:style>
  <w:style w:type="character" w:customStyle="1" w:styleId="CommentSubjectChar">
    <w:name w:val="Comment Subject Char"/>
    <w:basedOn w:val="CommentTextChar"/>
    <w:link w:val="CommentSubject"/>
    <w:uiPriority w:val="99"/>
    <w:semiHidden/>
    <w:rsid w:val="00167811"/>
    <w:rPr>
      <w:rFonts w:ascii="Calibri" w:eastAsia="Times New Roman" w:hAnsi="Calibri" w:cs="Times New Roman"/>
      <w:b/>
      <w:bCs/>
      <w:sz w:val="20"/>
      <w:szCs w:val="20"/>
    </w:rPr>
  </w:style>
  <w:style w:type="character" w:customStyle="1" w:styleId="cf01">
    <w:name w:val="cf01"/>
    <w:basedOn w:val="DefaultParagraphFont"/>
    <w:rsid w:val="00C12C20"/>
    <w:rPr>
      <w:rFonts w:ascii="Segoe UI" w:hAnsi="Segoe UI" w:cs="Segoe UI" w:hint="default"/>
      <w:sz w:val="18"/>
      <w:szCs w:val="18"/>
    </w:rPr>
  </w:style>
  <w:style w:type="character" w:customStyle="1" w:styleId="spctbdy">
    <w:name w:val="s_pct_bdy"/>
    <w:basedOn w:val="DefaultParagraphFont"/>
    <w:rsid w:val="0084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6FC2D-20F4-4937-9770-1E8859FF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7659</Words>
  <Characters>43660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dc:creator>
  <cp:keywords/>
  <dc:description/>
  <cp:lastModifiedBy>min6 inv6</cp:lastModifiedBy>
  <cp:revision>15</cp:revision>
  <cp:lastPrinted>2023-06-12T10:05:00Z</cp:lastPrinted>
  <dcterms:created xsi:type="dcterms:W3CDTF">2023-08-07T17:15:00Z</dcterms:created>
  <dcterms:modified xsi:type="dcterms:W3CDTF">2023-08-20T18:46:00Z</dcterms:modified>
</cp:coreProperties>
</file>