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FFF0" w14:textId="11F26A89" w:rsidR="00602B28" w:rsidRPr="00BE06E3" w:rsidRDefault="00026AC2" w:rsidP="002E55DF">
      <w:pPr>
        <w:spacing w:line="276" w:lineRule="auto"/>
        <w:jc w:val="center"/>
        <w:rPr>
          <w:rFonts w:asciiTheme="minorHAnsi" w:hAnsiTheme="minorHAnsi" w:cstheme="minorHAnsi"/>
          <w:b/>
          <w:iCs/>
          <w:sz w:val="28"/>
          <w:szCs w:val="28"/>
        </w:rPr>
      </w:pPr>
      <w:r w:rsidRPr="00BE06E3">
        <w:rPr>
          <w:rFonts w:asciiTheme="minorHAnsi" w:hAnsiTheme="minorHAnsi" w:cstheme="minorHAnsi"/>
          <w:b/>
          <w:iCs/>
          <w:sz w:val="28"/>
          <w:szCs w:val="28"/>
        </w:rPr>
        <w:t>Lista comună a acronimelor și abrevierilor/prescurtărilor utilizate</w:t>
      </w:r>
    </w:p>
    <w:p w14:paraId="2897B28F" w14:textId="77777777" w:rsidR="00675AE2" w:rsidRPr="00BE06E3" w:rsidRDefault="00675AE2" w:rsidP="00E22C20">
      <w:pPr>
        <w:jc w:val="both"/>
        <w:rPr>
          <w:rFonts w:asciiTheme="minorHAnsi" w:eastAsia="SimSun" w:hAnsiTheme="minorHAnsi" w:cstheme="minorHAnsi"/>
          <w:b/>
          <w:bCs/>
          <w:sz w:val="16"/>
          <w:szCs w:val="16"/>
        </w:rPr>
      </w:pPr>
    </w:p>
    <w:p w14:paraId="73EC9829" w14:textId="77777777" w:rsidR="00B76126" w:rsidRPr="00BE06E3" w:rsidRDefault="00B76126" w:rsidP="00E22C20">
      <w:pPr>
        <w:jc w:val="both"/>
        <w:rPr>
          <w:rFonts w:asciiTheme="minorHAnsi" w:eastAsia="SimSun" w:hAnsiTheme="minorHAnsi" w:cstheme="minorHAnsi"/>
          <w:b/>
          <w:bCs/>
        </w:rPr>
      </w:pPr>
    </w:p>
    <w:p w14:paraId="4E360092" w14:textId="68603248" w:rsidR="00B76126" w:rsidRPr="00BE06E3" w:rsidRDefault="00B76126" w:rsidP="00B76126">
      <w:pPr>
        <w:jc w:val="both"/>
        <w:rPr>
          <w:rFonts w:asciiTheme="minorHAnsi" w:hAnsiTheme="minorHAnsi" w:cstheme="minorHAnsi"/>
        </w:rPr>
      </w:pPr>
      <w:r w:rsidRPr="00BE06E3">
        <w:rPr>
          <w:rFonts w:asciiTheme="minorHAnsi" w:hAnsiTheme="minorHAnsi" w:cstheme="minorHAnsi"/>
          <w:b/>
        </w:rPr>
        <w:t>AA -</w:t>
      </w:r>
      <w:r w:rsidRPr="00BE06E3">
        <w:rPr>
          <w:rFonts w:asciiTheme="minorHAnsi" w:hAnsiTheme="minorHAnsi" w:cstheme="minorHAnsi"/>
        </w:rPr>
        <w:t xml:space="preserve"> Autoritatea de Audit din cadrul Curții de Conturi a României;</w:t>
      </w:r>
    </w:p>
    <w:p w14:paraId="402F4A7A" w14:textId="77777777" w:rsidR="00B76126" w:rsidRPr="00BE06E3" w:rsidRDefault="00B76126" w:rsidP="00B76126">
      <w:pPr>
        <w:jc w:val="both"/>
        <w:rPr>
          <w:rFonts w:asciiTheme="minorHAnsi" w:eastAsia="SimSun" w:hAnsiTheme="minorHAnsi" w:cstheme="minorHAnsi"/>
          <w:bCs/>
        </w:rPr>
      </w:pPr>
      <w:r w:rsidRPr="00BE06E3">
        <w:rPr>
          <w:rFonts w:asciiTheme="minorHAnsi" w:eastAsia="SimSun" w:hAnsiTheme="minorHAnsi" w:cstheme="minorHAnsi"/>
          <w:b/>
          <w:bCs/>
        </w:rPr>
        <w:t>ACP</w:t>
      </w:r>
      <w:r w:rsidRPr="00BE06E3">
        <w:rPr>
          <w:rFonts w:asciiTheme="minorHAnsi" w:eastAsia="SimSun" w:hAnsiTheme="minorHAnsi" w:cstheme="minorHAnsi"/>
          <w:bCs/>
        </w:rPr>
        <w:t xml:space="preserve"> – Autoritatea de Certificare și Plată;</w:t>
      </w:r>
    </w:p>
    <w:p w14:paraId="2E595D66" w14:textId="0D799C65" w:rsidR="001F7F69" w:rsidRPr="00BE06E3" w:rsidRDefault="001F7F69" w:rsidP="004A2BAF">
      <w:pPr>
        <w:spacing w:line="276" w:lineRule="auto"/>
        <w:jc w:val="both"/>
        <w:rPr>
          <w:rFonts w:asciiTheme="minorHAnsi" w:hAnsiTheme="minorHAnsi" w:cstheme="minorHAnsi"/>
          <w:szCs w:val="20"/>
          <w:lang w:val="en-US"/>
        </w:rPr>
      </w:pPr>
      <w:r w:rsidRPr="00BE06E3">
        <w:rPr>
          <w:rFonts w:asciiTheme="minorHAnsi" w:hAnsiTheme="minorHAnsi" w:cstheme="minorHAnsi"/>
          <w:b/>
          <w:szCs w:val="20"/>
        </w:rPr>
        <w:t>AM</w:t>
      </w:r>
      <w:r w:rsidRPr="00BE06E3">
        <w:rPr>
          <w:rFonts w:asciiTheme="minorHAnsi" w:hAnsiTheme="minorHAnsi" w:cstheme="minorHAnsi"/>
          <w:szCs w:val="20"/>
        </w:rPr>
        <w:t xml:space="preserve"> - Autoritatea de Management</w:t>
      </w:r>
      <w:r w:rsidR="00820BFD" w:rsidRPr="00BE06E3">
        <w:rPr>
          <w:rFonts w:asciiTheme="minorHAnsi" w:hAnsiTheme="minorHAnsi" w:cstheme="minorHAnsi"/>
          <w:szCs w:val="20"/>
          <w:lang w:val="en-US"/>
        </w:rPr>
        <w:t>;</w:t>
      </w:r>
    </w:p>
    <w:p w14:paraId="3560E946" w14:textId="4836EA65" w:rsidR="00026AC2" w:rsidRPr="00BE06E3" w:rsidRDefault="001F7F69" w:rsidP="004A2BAF">
      <w:pPr>
        <w:spacing w:line="276" w:lineRule="auto"/>
        <w:jc w:val="both"/>
        <w:rPr>
          <w:rFonts w:asciiTheme="minorHAnsi" w:hAnsiTheme="minorHAnsi" w:cstheme="minorHAnsi"/>
          <w:szCs w:val="20"/>
        </w:rPr>
      </w:pPr>
      <w:r w:rsidRPr="00BE06E3">
        <w:rPr>
          <w:rFonts w:asciiTheme="minorHAnsi" w:hAnsiTheme="minorHAnsi" w:cstheme="minorHAnsi"/>
          <w:b/>
          <w:szCs w:val="20"/>
        </w:rPr>
        <w:t>AM PR SV</w:t>
      </w:r>
      <w:r w:rsidRPr="00BE06E3">
        <w:rPr>
          <w:rFonts w:asciiTheme="minorHAnsi" w:hAnsiTheme="minorHAnsi" w:cstheme="minorHAnsi"/>
          <w:szCs w:val="20"/>
        </w:rPr>
        <w:t xml:space="preserve"> - Autoritatea de Management pentru Programul </w:t>
      </w:r>
      <w:r w:rsidR="007D6C8F" w:rsidRPr="00BE06E3">
        <w:rPr>
          <w:rFonts w:asciiTheme="minorHAnsi" w:hAnsiTheme="minorHAnsi" w:cstheme="minorHAnsi"/>
          <w:szCs w:val="20"/>
        </w:rPr>
        <w:t>Regional</w:t>
      </w:r>
      <w:r w:rsidRPr="00BE06E3">
        <w:rPr>
          <w:rFonts w:asciiTheme="minorHAnsi" w:hAnsiTheme="minorHAnsi" w:cstheme="minorHAnsi"/>
          <w:szCs w:val="20"/>
        </w:rPr>
        <w:t xml:space="preserve"> Sud-Vest Oltenia;</w:t>
      </w:r>
    </w:p>
    <w:p w14:paraId="0AC699B2" w14:textId="47B48EEE" w:rsidR="005F45E8" w:rsidRPr="00BE06E3" w:rsidRDefault="0041482D" w:rsidP="005F45E8">
      <w:pPr>
        <w:spacing w:after="0" w:line="276" w:lineRule="auto"/>
        <w:ind w:left="1410" w:hanging="1410"/>
        <w:jc w:val="both"/>
        <w:rPr>
          <w:rFonts w:asciiTheme="minorHAnsi" w:hAnsiTheme="minorHAnsi" w:cstheme="minorHAnsi"/>
          <w:lang w:val="en-US"/>
        </w:rPr>
      </w:pPr>
      <w:r w:rsidRPr="00BE06E3">
        <w:rPr>
          <w:rFonts w:asciiTheme="minorHAnsi" w:hAnsiTheme="minorHAnsi" w:cstheme="minorHAnsi"/>
          <w:b/>
        </w:rPr>
        <w:t>AP</w:t>
      </w:r>
      <w:r w:rsidRPr="00BE06E3">
        <w:rPr>
          <w:rFonts w:asciiTheme="minorHAnsi" w:hAnsiTheme="minorHAnsi" w:cstheme="minorHAnsi"/>
        </w:rPr>
        <w:t xml:space="preserve"> - Acordul de Parteneriat cu România, aprobat prin Decizia de punere în aplicare a Comisiei</w:t>
      </w:r>
    </w:p>
    <w:p w14:paraId="696AFFB7" w14:textId="46A6B836" w:rsidR="00026AC2" w:rsidRPr="00BE06E3" w:rsidRDefault="00820BFD" w:rsidP="004A2BAF">
      <w:pPr>
        <w:jc w:val="both"/>
        <w:rPr>
          <w:rFonts w:asciiTheme="minorHAnsi" w:hAnsiTheme="minorHAnsi" w:cstheme="minorHAnsi"/>
        </w:rPr>
      </w:pPr>
      <w:r w:rsidRPr="00BE06E3">
        <w:rPr>
          <w:rFonts w:asciiTheme="minorHAnsi" w:hAnsiTheme="minorHAnsi" w:cstheme="minorHAnsi"/>
          <w:b/>
        </w:rPr>
        <w:t>BS</w:t>
      </w:r>
      <w:r w:rsidRPr="00BE06E3">
        <w:rPr>
          <w:rFonts w:asciiTheme="minorHAnsi" w:hAnsiTheme="minorHAnsi" w:cstheme="minorHAnsi"/>
        </w:rPr>
        <w:t xml:space="preserve"> -</w:t>
      </w:r>
      <w:r w:rsidR="00026AC2" w:rsidRPr="00BE06E3">
        <w:rPr>
          <w:rFonts w:asciiTheme="minorHAnsi" w:hAnsiTheme="minorHAnsi" w:cstheme="minorHAnsi"/>
        </w:rPr>
        <w:t xml:space="preserve"> Cofinanţare de la bugetul de stat</w:t>
      </w:r>
      <w:r w:rsidR="00123F22" w:rsidRPr="00BE06E3">
        <w:rPr>
          <w:rFonts w:asciiTheme="minorHAnsi" w:hAnsiTheme="minorHAnsi" w:cstheme="minorHAnsi"/>
        </w:rPr>
        <w:t>;</w:t>
      </w:r>
    </w:p>
    <w:p w14:paraId="3EEE209F" w14:textId="77777777" w:rsidR="00AC3EFD" w:rsidRPr="00BE06E3" w:rsidRDefault="00AC3EFD" w:rsidP="004A2BAF">
      <w:pPr>
        <w:jc w:val="both"/>
        <w:rPr>
          <w:rFonts w:asciiTheme="minorHAnsi" w:hAnsiTheme="minorHAnsi" w:cstheme="minorHAnsi"/>
        </w:rPr>
      </w:pPr>
      <w:r w:rsidRPr="00BE06E3">
        <w:rPr>
          <w:rFonts w:asciiTheme="minorHAnsi" w:hAnsiTheme="minorHAnsi" w:cstheme="minorHAnsi"/>
          <w:b/>
        </w:rPr>
        <w:t>CE</w:t>
      </w:r>
      <w:r w:rsidRPr="00BE06E3">
        <w:rPr>
          <w:rFonts w:asciiTheme="minorHAnsi" w:hAnsiTheme="minorHAnsi" w:cstheme="minorHAnsi"/>
        </w:rPr>
        <w:t xml:space="preserve"> - Comisia Europeană</w:t>
      </w:r>
      <w:r w:rsidR="00123F22" w:rsidRPr="00BE06E3">
        <w:rPr>
          <w:rFonts w:asciiTheme="minorHAnsi" w:hAnsiTheme="minorHAnsi" w:cstheme="minorHAnsi"/>
        </w:rPr>
        <w:t>;</w:t>
      </w:r>
    </w:p>
    <w:p w14:paraId="45C13BCD" w14:textId="6F66AEF0" w:rsidR="00BA75F3" w:rsidRPr="00BE06E3" w:rsidRDefault="00BA75F3" w:rsidP="00BA75F3">
      <w:pPr>
        <w:pStyle w:val="qowt-stl-normal"/>
        <w:spacing w:before="0" w:beforeAutospacing="0" w:after="0" w:afterAutospacing="0"/>
        <w:jc w:val="both"/>
        <w:rPr>
          <w:rFonts w:asciiTheme="minorHAnsi" w:hAnsiTheme="minorHAnsi" w:cstheme="minorHAnsi"/>
          <w:sz w:val="20"/>
          <w:szCs w:val="20"/>
        </w:rPr>
      </w:pPr>
      <w:r w:rsidRPr="00BE06E3">
        <w:rPr>
          <w:rFonts w:asciiTheme="minorHAnsi" w:hAnsiTheme="minorHAnsi" w:cstheme="minorHAnsi"/>
          <w:b/>
          <w:sz w:val="20"/>
          <w:szCs w:val="20"/>
          <w:shd w:val="clear" w:color="auto" w:fill="FFFFFF"/>
        </w:rPr>
        <w:t xml:space="preserve">DNSH </w:t>
      </w:r>
      <w:r w:rsidRPr="00BE06E3">
        <w:rPr>
          <w:rFonts w:asciiTheme="minorHAnsi" w:hAnsiTheme="minorHAnsi" w:cstheme="minorHAnsi"/>
          <w:sz w:val="20"/>
          <w:szCs w:val="20"/>
          <w:shd w:val="clear" w:color="auto" w:fill="FFFFFF"/>
        </w:rPr>
        <w:t xml:space="preserve">- </w:t>
      </w:r>
      <w:proofErr w:type="spellStart"/>
      <w:r w:rsidRPr="00BE06E3">
        <w:rPr>
          <w:rFonts w:asciiTheme="minorHAnsi" w:hAnsiTheme="minorHAnsi" w:cstheme="minorHAnsi"/>
          <w:sz w:val="20"/>
          <w:szCs w:val="20"/>
          <w:shd w:val="clear" w:color="auto" w:fill="FFFFFF"/>
        </w:rPr>
        <w:t>Principiul</w:t>
      </w:r>
      <w:proofErr w:type="spellEnd"/>
      <w:r w:rsidRPr="00BE06E3">
        <w:rPr>
          <w:rFonts w:asciiTheme="minorHAnsi" w:hAnsiTheme="minorHAnsi" w:cstheme="minorHAnsi"/>
          <w:sz w:val="20"/>
          <w:szCs w:val="20"/>
          <w:shd w:val="clear" w:color="auto" w:fill="FFFFFF"/>
        </w:rPr>
        <w:t xml:space="preserve"> de a </w:t>
      </w:r>
      <w:proofErr w:type="spellStart"/>
      <w:r w:rsidRPr="00BE06E3">
        <w:rPr>
          <w:rFonts w:asciiTheme="minorHAnsi" w:hAnsiTheme="minorHAnsi" w:cstheme="minorHAnsi"/>
          <w:sz w:val="20"/>
          <w:szCs w:val="20"/>
          <w:shd w:val="clear" w:color="auto" w:fill="FFFFFF"/>
        </w:rPr>
        <w:t>nu</w:t>
      </w:r>
      <w:proofErr w:type="spellEnd"/>
      <w:r w:rsidRPr="00BE06E3">
        <w:rPr>
          <w:rFonts w:asciiTheme="minorHAnsi" w:hAnsiTheme="minorHAnsi" w:cstheme="minorHAnsi"/>
          <w:sz w:val="20"/>
          <w:szCs w:val="20"/>
          <w:shd w:val="clear" w:color="auto" w:fill="FFFFFF"/>
        </w:rPr>
        <w:t xml:space="preserve"> „</w:t>
      </w:r>
      <w:proofErr w:type="spellStart"/>
      <w:r w:rsidRPr="00BE06E3">
        <w:rPr>
          <w:rFonts w:asciiTheme="minorHAnsi" w:hAnsiTheme="minorHAnsi" w:cstheme="minorHAnsi"/>
          <w:sz w:val="20"/>
          <w:szCs w:val="20"/>
          <w:shd w:val="clear" w:color="auto" w:fill="FFFFFF"/>
        </w:rPr>
        <w:t>prejudicia</w:t>
      </w:r>
      <w:proofErr w:type="spellEnd"/>
      <w:r w:rsidRPr="00BE06E3">
        <w:rPr>
          <w:rFonts w:asciiTheme="minorHAnsi" w:hAnsiTheme="minorHAnsi" w:cstheme="minorHAnsi"/>
          <w:sz w:val="20"/>
          <w:szCs w:val="20"/>
          <w:shd w:val="clear" w:color="auto" w:fill="FFFFFF"/>
        </w:rPr>
        <w:t xml:space="preserve"> </w:t>
      </w:r>
      <w:proofErr w:type="spellStart"/>
      <w:r w:rsidRPr="00BE06E3">
        <w:rPr>
          <w:rFonts w:asciiTheme="minorHAnsi" w:hAnsiTheme="minorHAnsi" w:cstheme="minorHAnsi"/>
          <w:sz w:val="20"/>
          <w:szCs w:val="20"/>
          <w:shd w:val="clear" w:color="auto" w:fill="FFFFFF"/>
        </w:rPr>
        <w:t>în</w:t>
      </w:r>
      <w:proofErr w:type="spellEnd"/>
      <w:r w:rsidRPr="00BE06E3">
        <w:rPr>
          <w:rFonts w:asciiTheme="minorHAnsi" w:hAnsiTheme="minorHAnsi" w:cstheme="minorHAnsi"/>
          <w:sz w:val="20"/>
          <w:szCs w:val="20"/>
          <w:shd w:val="clear" w:color="auto" w:fill="FFFFFF"/>
        </w:rPr>
        <w:t xml:space="preserve"> mod </w:t>
      </w:r>
      <w:proofErr w:type="spellStart"/>
      <w:r w:rsidRPr="00BE06E3">
        <w:rPr>
          <w:rFonts w:asciiTheme="minorHAnsi" w:hAnsiTheme="minorHAnsi" w:cstheme="minorHAnsi"/>
          <w:sz w:val="20"/>
          <w:szCs w:val="20"/>
          <w:shd w:val="clear" w:color="auto" w:fill="FFFFFF"/>
        </w:rPr>
        <w:t>semnificativ</w:t>
      </w:r>
      <w:proofErr w:type="spellEnd"/>
      <w:r w:rsidRPr="00BE06E3">
        <w:rPr>
          <w:rFonts w:asciiTheme="minorHAnsi" w:hAnsiTheme="minorHAnsi" w:cstheme="minorHAnsi"/>
          <w:sz w:val="20"/>
          <w:szCs w:val="20"/>
          <w:shd w:val="clear" w:color="auto" w:fill="FFFFFF"/>
        </w:rPr>
        <w:t xml:space="preserve">” (do no </w:t>
      </w:r>
      <w:proofErr w:type="spellStart"/>
      <w:r w:rsidRPr="00BE06E3">
        <w:rPr>
          <w:rFonts w:asciiTheme="minorHAnsi" w:hAnsiTheme="minorHAnsi" w:cstheme="minorHAnsi"/>
          <w:sz w:val="20"/>
          <w:szCs w:val="20"/>
          <w:shd w:val="clear" w:color="auto" w:fill="FFFFFF"/>
        </w:rPr>
        <w:t>significat</w:t>
      </w:r>
      <w:proofErr w:type="spellEnd"/>
      <w:r w:rsidRPr="00BE06E3">
        <w:rPr>
          <w:rFonts w:asciiTheme="minorHAnsi" w:hAnsiTheme="minorHAnsi" w:cstheme="minorHAnsi"/>
          <w:sz w:val="20"/>
          <w:szCs w:val="20"/>
          <w:shd w:val="clear" w:color="auto" w:fill="FFFFFF"/>
        </w:rPr>
        <w:t xml:space="preserve"> harm)</w:t>
      </w:r>
    </w:p>
    <w:p w14:paraId="7EEC8B79" w14:textId="77777777" w:rsidR="00820BFD" w:rsidRPr="00BE06E3" w:rsidRDefault="00820BFD" w:rsidP="004A2BAF">
      <w:pPr>
        <w:jc w:val="both"/>
        <w:rPr>
          <w:rFonts w:asciiTheme="minorHAnsi" w:hAnsiTheme="minorHAnsi" w:cstheme="minorHAnsi"/>
          <w:szCs w:val="20"/>
        </w:rPr>
      </w:pPr>
      <w:r w:rsidRPr="00BE06E3">
        <w:rPr>
          <w:rFonts w:asciiTheme="minorHAnsi" w:hAnsiTheme="minorHAnsi" w:cstheme="minorHAnsi"/>
          <w:b/>
          <w:szCs w:val="20"/>
        </w:rPr>
        <w:t xml:space="preserve">DUAE </w:t>
      </w:r>
      <w:r w:rsidRPr="00BE06E3">
        <w:rPr>
          <w:rFonts w:asciiTheme="minorHAnsi" w:hAnsiTheme="minorHAnsi" w:cstheme="minorHAnsi"/>
          <w:szCs w:val="20"/>
        </w:rPr>
        <w:t>- Document Unic pentru Achizițiile publice Europene</w:t>
      </w:r>
      <w:r w:rsidR="00123F22" w:rsidRPr="00BE06E3">
        <w:rPr>
          <w:rFonts w:asciiTheme="minorHAnsi" w:hAnsiTheme="minorHAnsi" w:cstheme="minorHAnsi"/>
          <w:szCs w:val="20"/>
        </w:rPr>
        <w:t>;</w:t>
      </w:r>
    </w:p>
    <w:p w14:paraId="2FE63178" w14:textId="1FAC06F8" w:rsidR="00820BFD" w:rsidRPr="00BE06E3" w:rsidRDefault="00820BFD" w:rsidP="004A2BAF">
      <w:pPr>
        <w:jc w:val="both"/>
        <w:rPr>
          <w:rFonts w:asciiTheme="minorHAnsi" w:eastAsia="SimSun" w:hAnsiTheme="minorHAnsi" w:cstheme="minorHAnsi"/>
          <w:bCs/>
        </w:rPr>
      </w:pPr>
      <w:r w:rsidRPr="00BE06E3">
        <w:rPr>
          <w:rFonts w:asciiTheme="minorHAnsi" w:eastAsia="SimSun" w:hAnsiTheme="minorHAnsi" w:cstheme="minorHAnsi"/>
          <w:b/>
          <w:bCs/>
        </w:rPr>
        <w:t xml:space="preserve">EUR </w:t>
      </w:r>
      <w:r w:rsidR="00AC3EFD" w:rsidRPr="00BE06E3">
        <w:rPr>
          <w:rFonts w:asciiTheme="minorHAnsi" w:eastAsia="SimSun" w:hAnsiTheme="minorHAnsi" w:cstheme="minorHAnsi"/>
          <w:bCs/>
        </w:rPr>
        <w:t>–</w:t>
      </w:r>
      <w:r w:rsidRPr="00BE06E3">
        <w:rPr>
          <w:rFonts w:asciiTheme="minorHAnsi" w:eastAsia="SimSun" w:hAnsiTheme="minorHAnsi" w:cstheme="minorHAnsi"/>
          <w:bCs/>
        </w:rPr>
        <w:t xml:space="preserve"> Euro</w:t>
      </w:r>
      <w:r w:rsidR="00AC3EFD" w:rsidRPr="00BE06E3">
        <w:rPr>
          <w:rFonts w:asciiTheme="minorHAnsi" w:eastAsia="SimSun" w:hAnsiTheme="minorHAnsi" w:cstheme="minorHAnsi"/>
          <w:bCs/>
        </w:rPr>
        <w:t>;</w:t>
      </w:r>
    </w:p>
    <w:p w14:paraId="6E5B3E8E" w14:textId="5655F0F2" w:rsidR="00820BFD" w:rsidRPr="00BE06E3" w:rsidRDefault="00820BFD" w:rsidP="004A2BAF">
      <w:pPr>
        <w:spacing w:after="0" w:line="276" w:lineRule="auto"/>
        <w:jc w:val="both"/>
        <w:rPr>
          <w:rFonts w:asciiTheme="minorHAnsi" w:hAnsiTheme="minorHAnsi" w:cstheme="minorHAnsi"/>
        </w:rPr>
      </w:pPr>
      <w:r w:rsidRPr="00BE06E3">
        <w:rPr>
          <w:rFonts w:asciiTheme="minorHAnsi" w:hAnsiTheme="minorHAnsi" w:cstheme="minorHAnsi"/>
          <w:b/>
        </w:rPr>
        <w:t xml:space="preserve">FEDR </w:t>
      </w:r>
      <w:r w:rsidRPr="00BE06E3">
        <w:rPr>
          <w:rFonts w:asciiTheme="minorHAnsi" w:hAnsiTheme="minorHAnsi" w:cstheme="minorHAnsi"/>
        </w:rPr>
        <w:t>- Fondul European de Dezvoltare Regională</w:t>
      </w:r>
    </w:p>
    <w:p w14:paraId="3D7BBCEE" w14:textId="790F2D9E" w:rsidR="00820BFD" w:rsidRPr="00BE06E3" w:rsidRDefault="00820BFD" w:rsidP="004A2BAF">
      <w:pPr>
        <w:spacing w:after="0" w:line="276" w:lineRule="auto"/>
        <w:jc w:val="both"/>
        <w:rPr>
          <w:rFonts w:asciiTheme="minorHAnsi" w:hAnsiTheme="minorHAnsi" w:cstheme="minorHAnsi"/>
        </w:rPr>
      </w:pPr>
      <w:r w:rsidRPr="00BE06E3">
        <w:rPr>
          <w:rFonts w:asciiTheme="minorHAnsi" w:hAnsiTheme="minorHAnsi" w:cstheme="minorHAnsi"/>
          <w:b/>
        </w:rPr>
        <w:t>FSE</w:t>
      </w:r>
      <w:r w:rsidRPr="00BE06E3">
        <w:rPr>
          <w:rFonts w:asciiTheme="minorHAnsi" w:hAnsiTheme="minorHAnsi" w:cstheme="minorHAnsi"/>
        </w:rPr>
        <w:t>+ - Fondul Social European</w:t>
      </w:r>
    </w:p>
    <w:p w14:paraId="4F0BCD4D" w14:textId="3BD86E60" w:rsidR="00820BFD" w:rsidRPr="00BE06E3" w:rsidRDefault="00820BFD" w:rsidP="004A2BAF">
      <w:pPr>
        <w:spacing w:line="276" w:lineRule="auto"/>
        <w:jc w:val="both"/>
        <w:rPr>
          <w:rFonts w:asciiTheme="minorHAnsi" w:hAnsiTheme="minorHAnsi" w:cstheme="minorHAnsi"/>
        </w:rPr>
      </w:pPr>
      <w:r w:rsidRPr="00BE06E3">
        <w:rPr>
          <w:rFonts w:asciiTheme="minorHAnsi" w:hAnsiTheme="minorHAnsi" w:cstheme="minorHAnsi"/>
          <w:b/>
        </w:rPr>
        <w:t>FC</w:t>
      </w:r>
      <w:r w:rsidRPr="00BE06E3">
        <w:rPr>
          <w:rFonts w:asciiTheme="minorHAnsi" w:hAnsiTheme="minorHAnsi" w:cstheme="minorHAnsi"/>
        </w:rPr>
        <w:t xml:space="preserve"> - Fondul de Coeziune</w:t>
      </w:r>
    </w:p>
    <w:p w14:paraId="4E5666B4" w14:textId="74DC2084" w:rsidR="004361CB" w:rsidRPr="00BE06E3" w:rsidRDefault="004361CB" w:rsidP="00675AE2">
      <w:pPr>
        <w:spacing w:after="0" w:line="276" w:lineRule="auto"/>
        <w:jc w:val="both"/>
        <w:rPr>
          <w:rFonts w:asciiTheme="minorHAnsi" w:hAnsiTheme="minorHAnsi" w:cstheme="minorHAnsi"/>
        </w:rPr>
      </w:pPr>
      <w:r w:rsidRPr="00BE06E3">
        <w:rPr>
          <w:rFonts w:asciiTheme="minorHAnsi" w:hAnsiTheme="minorHAnsi" w:cstheme="minorHAnsi"/>
          <w:b/>
        </w:rPr>
        <w:t xml:space="preserve">FESI </w:t>
      </w:r>
      <w:r w:rsidRPr="00BE06E3">
        <w:rPr>
          <w:rFonts w:asciiTheme="minorHAnsi" w:hAnsiTheme="minorHAnsi" w:cstheme="minorHAnsi"/>
        </w:rPr>
        <w:t>- Fondurile Europene Structurale și de Investiții</w:t>
      </w:r>
    </w:p>
    <w:p w14:paraId="0B7AD4F1" w14:textId="5680C98C" w:rsidR="00AC3EFD" w:rsidRPr="00BE06E3" w:rsidRDefault="00AC3EFD" w:rsidP="004A2BAF">
      <w:pPr>
        <w:jc w:val="both"/>
        <w:rPr>
          <w:rFonts w:asciiTheme="minorHAnsi" w:hAnsiTheme="minorHAnsi" w:cstheme="minorHAnsi"/>
        </w:rPr>
      </w:pPr>
      <w:r w:rsidRPr="00BE06E3">
        <w:rPr>
          <w:rFonts w:asciiTheme="minorHAnsi" w:hAnsiTheme="minorHAnsi" w:cstheme="minorHAnsi"/>
          <w:b/>
        </w:rPr>
        <w:t>HG -</w:t>
      </w:r>
      <w:r w:rsidRPr="00BE06E3">
        <w:rPr>
          <w:rFonts w:asciiTheme="minorHAnsi" w:hAnsiTheme="minorHAnsi" w:cstheme="minorHAnsi"/>
        </w:rPr>
        <w:t xml:space="preserve"> Hotărâre a Guvernului</w:t>
      </w:r>
    </w:p>
    <w:p w14:paraId="17E6E92D" w14:textId="2B7F8793" w:rsidR="004361CB" w:rsidRPr="00BE06E3" w:rsidRDefault="004361CB" w:rsidP="004A2BAF">
      <w:pPr>
        <w:jc w:val="both"/>
        <w:rPr>
          <w:rFonts w:asciiTheme="minorHAnsi" w:eastAsia="SimSun" w:hAnsiTheme="minorHAnsi" w:cstheme="minorHAnsi"/>
          <w:bCs/>
        </w:rPr>
      </w:pPr>
      <w:r w:rsidRPr="00BE06E3">
        <w:rPr>
          <w:rFonts w:asciiTheme="minorHAnsi" w:eastAsia="SimSun" w:hAnsiTheme="minorHAnsi" w:cstheme="minorHAnsi"/>
          <w:b/>
          <w:bCs/>
        </w:rPr>
        <w:t>IF</w:t>
      </w:r>
      <w:r w:rsidRPr="00BE06E3">
        <w:rPr>
          <w:rFonts w:asciiTheme="minorHAnsi" w:eastAsia="SimSun" w:hAnsiTheme="minorHAnsi" w:cstheme="minorHAnsi"/>
          <w:bCs/>
        </w:rPr>
        <w:t xml:space="preserve"> – Instrumente financiare</w:t>
      </w:r>
    </w:p>
    <w:p w14:paraId="71D8C827" w14:textId="43F86676" w:rsidR="004361CB" w:rsidRPr="00BE06E3" w:rsidRDefault="004361CB" w:rsidP="004A2BAF">
      <w:pPr>
        <w:jc w:val="both"/>
        <w:rPr>
          <w:rFonts w:asciiTheme="minorHAnsi" w:eastAsia="SimSun" w:hAnsiTheme="minorHAnsi" w:cstheme="minorHAnsi"/>
          <w:bCs/>
        </w:rPr>
      </w:pPr>
      <w:r w:rsidRPr="00BE06E3">
        <w:rPr>
          <w:rFonts w:asciiTheme="minorHAnsi" w:eastAsia="SimSun" w:hAnsiTheme="minorHAnsi" w:cstheme="minorHAnsi"/>
          <w:b/>
          <w:bCs/>
        </w:rPr>
        <w:t>IMM</w:t>
      </w:r>
      <w:r w:rsidRPr="00BE06E3">
        <w:rPr>
          <w:rFonts w:asciiTheme="minorHAnsi" w:eastAsia="SimSun" w:hAnsiTheme="minorHAnsi" w:cstheme="minorHAnsi"/>
          <w:bCs/>
        </w:rPr>
        <w:t xml:space="preserve"> – Întreprinderi mici și mijlocii</w:t>
      </w:r>
    </w:p>
    <w:p w14:paraId="77772BF0" w14:textId="6055505A" w:rsidR="004361CB" w:rsidRPr="00BE06E3" w:rsidRDefault="004361CB" w:rsidP="004A2BAF">
      <w:pPr>
        <w:jc w:val="both"/>
        <w:rPr>
          <w:rFonts w:asciiTheme="minorHAnsi" w:eastAsia="SimSun" w:hAnsiTheme="minorHAnsi" w:cstheme="minorHAnsi"/>
          <w:bCs/>
        </w:rPr>
      </w:pPr>
      <w:r w:rsidRPr="00BE06E3">
        <w:rPr>
          <w:rFonts w:asciiTheme="minorHAnsi" w:eastAsia="SimSun" w:hAnsiTheme="minorHAnsi" w:cstheme="minorHAnsi"/>
          <w:b/>
          <w:bCs/>
        </w:rPr>
        <w:t>MFP</w:t>
      </w:r>
      <w:r w:rsidRPr="00BE06E3">
        <w:rPr>
          <w:rFonts w:asciiTheme="minorHAnsi" w:eastAsia="SimSun" w:hAnsiTheme="minorHAnsi" w:cstheme="minorHAnsi"/>
          <w:bCs/>
        </w:rPr>
        <w:t xml:space="preserve"> – Ministerul Finanțelor Publice</w:t>
      </w:r>
    </w:p>
    <w:p w14:paraId="5D17B22D" w14:textId="547D2730" w:rsidR="004361CB" w:rsidRPr="00BE06E3" w:rsidRDefault="004361CB" w:rsidP="004A2BAF">
      <w:pPr>
        <w:spacing w:after="0" w:line="276" w:lineRule="auto"/>
        <w:jc w:val="both"/>
        <w:rPr>
          <w:rFonts w:asciiTheme="minorHAnsi" w:hAnsiTheme="minorHAnsi" w:cstheme="minorHAnsi"/>
        </w:rPr>
      </w:pPr>
      <w:r w:rsidRPr="00BE06E3">
        <w:rPr>
          <w:rFonts w:asciiTheme="minorHAnsi" w:hAnsiTheme="minorHAnsi" w:cstheme="minorHAnsi"/>
          <w:b/>
        </w:rPr>
        <w:t>OP</w:t>
      </w:r>
      <w:r w:rsidRPr="00BE06E3">
        <w:rPr>
          <w:rFonts w:asciiTheme="minorHAnsi" w:hAnsiTheme="minorHAnsi" w:cstheme="minorHAnsi"/>
        </w:rPr>
        <w:t xml:space="preserve"> - obiectiv de politică</w:t>
      </w:r>
    </w:p>
    <w:p w14:paraId="711B5C8F" w14:textId="0757F5CB" w:rsidR="004361CB" w:rsidRPr="00BE06E3" w:rsidRDefault="004361CB" w:rsidP="004A2BAF">
      <w:pPr>
        <w:spacing w:after="0" w:line="276" w:lineRule="auto"/>
        <w:jc w:val="both"/>
        <w:rPr>
          <w:rFonts w:asciiTheme="minorHAnsi" w:hAnsiTheme="minorHAnsi" w:cstheme="minorHAnsi"/>
        </w:rPr>
      </w:pPr>
      <w:r w:rsidRPr="00BE06E3">
        <w:rPr>
          <w:rFonts w:asciiTheme="minorHAnsi" w:hAnsiTheme="minorHAnsi" w:cstheme="minorHAnsi"/>
          <w:b/>
        </w:rPr>
        <w:t xml:space="preserve">OS </w:t>
      </w:r>
      <w:r w:rsidRPr="00BE06E3">
        <w:rPr>
          <w:rFonts w:asciiTheme="minorHAnsi" w:hAnsiTheme="minorHAnsi" w:cstheme="minorHAnsi"/>
        </w:rPr>
        <w:t>- obiectiv specific</w:t>
      </w:r>
    </w:p>
    <w:p w14:paraId="3A14FFB6" w14:textId="13ADA321" w:rsidR="00B76126" w:rsidRPr="00BE06E3" w:rsidRDefault="00B76126" w:rsidP="004A2BAF">
      <w:pPr>
        <w:spacing w:after="0" w:line="276" w:lineRule="auto"/>
        <w:jc w:val="both"/>
        <w:rPr>
          <w:rFonts w:asciiTheme="minorHAnsi" w:hAnsiTheme="minorHAnsi" w:cstheme="minorHAnsi"/>
        </w:rPr>
      </w:pPr>
      <w:r w:rsidRPr="00BE06E3">
        <w:rPr>
          <w:rFonts w:asciiTheme="minorHAnsi" w:hAnsiTheme="minorHAnsi" w:cstheme="minorHAnsi"/>
          <w:b/>
          <w:bCs/>
        </w:rPr>
        <w:t>OSR</w:t>
      </w:r>
      <w:r w:rsidRPr="00BE06E3">
        <w:rPr>
          <w:rFonts w:asciiTheme="minorHAnsi" w:hAnsiTheme="minorHAnsi" w:cstheme="minorHAnsi"/>
        </w:rPr>
        <w:t xml:space="preserve"> – obiectiv strategic regional</w:t>
      </w:r>
    </w:p>
    <w:p w14:paraId="2DEF0DA7" w14:textId="3A095925" w:rsidR="00AC3EFD" w:rsidRPr="00BE06E3" w:rsidRDefault="00AC3EFD" w:rsidP="004A2BAF">
      <w:pPr>
        <w:jc w:val="both"/>
        <w:rPr>
          <w:rFonts w:asciiTheme="minorHAnsi" w:hAnsiTheme="minorHAnsi" w:cstheme="minorHAnsi"/>
        </w:rPr>
      </w:pPr>
      <w:r w:rsidRPr="00BE06E3">
        <w:rPr>
          <w:rFonts w:asciiTheme="minorHAnsi" w:hAnsiTheme="minorHAnsi" w:cstheme="minorHAnsi"/>
          <w:b/>
        </w:rPr>
        <w:t>OUG</w:t>
      </w:r>
      <w:r w:rsidRPr="00BE06E3">
        <w:rPr>
          <w:rFonts w:asciiTheme="minorHAnsi" w:hAnsiTheme="minorHAnsi" w:cstheme="minorHAnsi"/>
        </w:rPr>
        <w:t xml:space="preserve"> - Ordonanță de urgență a Guvernului</w:t>
      </w:r>
    </w:p>
    <w:p w14:paraId="58081AEA" w14:textId="77777777" w:rsidR="0068121C" w:rsidRPr="00BE06E3" w:rsidRDefault="0068121C" w:rsidP="0068121C">
      <w:pPr>
        <w:jc w:val="both"/>
        <w:rPr>
          <w:rFonts w:asciiTheme="minorHAnsi" w:eastAsia="SimSun" w:hAnsiTheme="minorHAnsi" w:cstheme="minorHAnsi"/>
          <w:bCs/>
        </w:rPr>
      </w:pPr>
      <w:r w:rsidRPr="00BE06E3">
        <w:rPr>
          <w:rFonts w:asciiTheme="minorHAnsi" w:eastAsia="SimSun" w:hAnsiTheme="minorHAnsi" w:cstheme="minorHAnsi"/>
          <w:b/>
          <w:bCs/>
        </w:rPr>
        <w:t>P</w:t>
      </w:r>
      <w:r w:rsidRPr="00BE06E3">
        <w:rPr>
          <w:rFonts w:asciiTheme="minorHAnsi" w:eastAsia="SimSun" w:hAnsiTheme="minorHAnsi" w:cstheme="minorHAnsi"/>
          <w:bCs/>
        </w:rPr>
        <w:t xml:space="preserve"> – Prioritatea;</w:t>
      </w:r>
    </w:p>
    <w:p w14:paraId="49FD640A" w14:textId="53653EC2" w:rsidR="004361CB" w:rsidRPr="00BE06E3" w:rsidRDefault="004361CB" w:rsidP="004A2BAF">
      <w:pPr>
        <w:spacing w:after="0" w:line="276" w:lineRule="auto"/>
        <w:jc w:val="both"/>
        <w:rPr>
          <w:rFonts w:asciiTheme="minorHAnsi" w:hAnsiTheme="minorHAnsi" w:cstheme="minorHAnsi"/>
        </w:rPr>
      </w:pPr>
      <w:r w:rsidRPr="00BE06E3">
        <w:rPr>
          <w:rFonts w:asciiTheme="minorHAnsi" w:hAnsiTheme="minorHAnsi" w:cstheme="minorHAnsi"/>
          <w:b/>
        </w:rPr>
        <w:t>PR Sud-Vest Oltenia</w:t>
      </w:r>
      <w:r w:rsidRPr="00BE06E3">
        <w:rPr>
          <w:rFonts w:asciiTheme="minorHAnsi" w:hAnsiTheme="minorHAnsi" w:cstheme="minorHAnsi"/>
        </w:rPr>
        <w:t xml:space="preserve"> - Programul Regional Sud- Vest Oltenia;</w:t>
      </w:r>
    </w:p>
    <w:p w14:paraId="5A0D1D7D" w14:textId="77777777" w:rsidR="004361CB" w:rsidRPr="00BE06E3" w:rsidRDefault="004361CB" w:rsidP="004A2BAF">
      <w:pPr>
        <w:jc w:val="both"/>
        <w:rPr>
          <w:rFonts w:asciiTheme="minorHAnsi" w:hAnsiTheme="minorHAnsi" w:cstheme="minorHAnsi"/>
        </w:rPr>
      </w:pPr>
      <w:r w:rsidRPr="00BE06E3">
        <w:rPr>
          <w:rFonts w:asciiTheme="minorHAnsi" w:hAnsiTheme="minorHAnsi" w:cstheme="minorHAnsi"/>
          <w:b/>
        </w:rPr>
        <w:t xml:space="preserve">PDR </w:t>
      </w:r>
      <w:r w:rsidRPr="00BE06E3">
        <w:rPr>
          <w:rFonts w:asciiTheme="minorHAnsi" w:hAnsiTheme="minorHAnsi" w:cstheme="minorHAnsi"/>
        </w:rPr>
        <w:t>- Planul de Dezvoltare Regională</w:t>
      </w:r>
      <w:r w:rsidR="002A15A4" w:rsidRPr="00BE06E3">
        <w:rPr>
          <w:rFonts w:asciiTheme="minorHAnsi" w:hAnsiTheme="minorHAnsi" w:cstheme="minorHAnsi"/>
        </w:rPr>
        <w:t xml:space="preserve"> SV Oltenia</w:t>
      </w:r>
      <w:r w:rsidR="00123F22" w:rsidRPr="00BE06E3">
        <w:rPr>
          <w:rFonts w:asciiTheme="minorHAnsi" w:hAnsiTheme="minorHAnsi" w:cstheme="minorHAnsi"/>
        </w:rPr>
        <w:t>;</w:t>
      </w:r>
    </w:p>
    <w:p w14:paraId="1A3CC0D3" w14:textId="77777777" w:rsidR="002A15A4" w:rsidRPr="00BE06E3" w:rsidRDefault="002A15A4" w:rsidP="004A2BAF">
      <w:pPr>
        <w:jc w:val="both"/>
        <w:rPr>
          <w:rFonts w:asciiTheme="minorHAnsi" w:hAnsiTheme="minorHAnsi" w:cstheme="minorHAnsi"/>
        </w:rPr>
      </w:pPr>
      <w:r w:rsidRPr="00BE06E3">
        <w:rPr>
          <w:rFonts w:asciiTheme="minorHAnsi" w:hAnsiTheme="minorHAnsi" w:cstheme="minorHAnsi"/>
          <w:b/>
        </w:rPr>
        <w:t>RȚ</w:t>
      </w:r>
      <w:r w:rsidRPr="00BE06E3">
        <w:rPr>
          <w:rFonts w:asciiTheme="minorHAnsi" w:hAnsiTheme="minorHAnsi" w:cstheme="minorHAnsi"/>
        </w:rPr>
        <w:t xml:space="preserve"> -</w:t>
      </w:r>
      <w:r w:rsidR="00123F22" w:rsidRPr="00BE06E3">
        <w:rPr>
          <w:rFonts w:asciiTheme="minorHAnsi" w:hAnsiTheme="minorHAnsi" w:cstheme="minorHAnsi"/>
        </w:rPr>
        <w:t xml:space="preserve"> Raportul de Țară;</w:t>
      </w:r>
    </w:p>
    <w:p w14:paraId="27BE2DB4" w14:textId="77777777" w:rsidR="002A15A4" w:rsidRPr="00BE06E3" w:rsidRDefault="002A15A4" w:rsidP="004A2BAF">
      <w:pPr>
        <w:jc w:val="both"/>
        <w:rPr>
          <w:rFonts w:asciiTheme="minorHAnsi" w:hAnsiTheme="minorHAnsi" w:cstheme="minorHAnsi"/>
          <w:szCs w:val="20"/>
        </w:rPr>
      </w:pPr>
      <w:r w:rsidRPr="00BE06E3">
        <w:rPr>
          <w:rFonts w:asciiTheme="minorHAnsi" w:hAnsiTheme="minorHAnsi" w:cstheme="minorHAnsi"/>
          <w:b/>
          <w:szCs w:val="20"/>
        </w:rPr>
        <w:t>RIS3</w:t>
      </w:r>
      <w:r w:rsidRPr="00BE06E3">
        <w:rPr>
          <w:rFonts w:asciiTheme="minorHAnsi" w:hAnsiTheme="minorHAnsi" w:cstheme="minorHAnsi"/>
          <w:szCs w:val="20"/>
        </w:rPr>
        <w:t xml:space="preserve"> - Strategia regională de inovare pentru specializare inteligentă; </w:t>
      </w:r>
    </w:p>
    <w:p w14:paraId="0E4A5D8D" w14:textId="77777777" w:rsidR="00422194" w:rsidRPr="00BE06E3" w:rsidRDefault="00422194" w:rsidP="004A2BAF">
      <w:pPr>
        <w:jc w:val="both"/>
        <w:rPr>
          <w:rFonts w:asciiTheme="minorHAnsi" w:hAnsiTheme="minorHAnsi" w:cstheme="minorHAnsi"/>
          <w:szCs w:val="20"/>
        </w:rPr>
      </w:pPr>
      <w:r w:rsidRPr="00BE06E3">
        <w:rPr>
          <w:rFonts w:asciiTheme="minorHAnsi" w:hAnsiTheme="minorHAnsi" w:cstheme="minorHAnsi"/>
          <w:b/>
          <w:szCs w:val="20"/>
        </w:rPr>
        <w:t>REG</w:t>
      </w:r>
      <w:r w:rsidRPr="00BE06E3">
        <w:rPr>
          <w:rFonts w:asciiTheme="minorHAnsi" w:hAnsiTheme="minorHAnsi" w:cstheme="minorHAnsi"/>
          <w:szCs w:val="20"/>
        </w:rPr>
        <w:t xml:space="preserve"> - Regulament;</w:t>
      </w:r>
    </w:p>
    <w:p w14:paraId="13149EED" w14:textId="7BFE4675" w:rsidR="002A15A4" w:rsidRPr="00BE06E3" w:rsidRDefault="002A15A4" w:rsidP="004A2BAF">
      <w:pPr>
        <w:jc w:val="both"/>
        <w:rPr>
          <w:rFonts w:asciiTheme="minorHAnsi" w:eastAsia="SimSun" w:hAnsiTheme="minorHAnsi" w:cstheme="minorHAnsi"/>
          <w:bCs/>
        </w:rPr>
      </w:pPr>
      <w:r w:rsidRPr="00BE06E3">
        <w:rPr>
          <w:rFonts w:asciiTheme="minorHAnsi" w:eastAsia="SimSun" w:hAnsiTheme="minorHAnsi" w:cstheme="minorHAnsi"/>
          <w:b/>
          <w:bCs/>
        </w:rPr>
        <w:t>SNDD</w:t>
      </w:r>
      <w:r w:rsidR="00FB3831" w:rsidRPr="00BE06E3">
        <w:rPr>
          <w:rFonts w:asciiTheme="minorHAnsi" w:eastAsia="SimSun" w:hAnsiTheme="minorHAnsi" w:cstheme="minorHAnsi"/>
          <w:b/>
          <w:bCs/>
        </w:rPr>
        <w:t>R</w:t>
      </w:r>
      <w:r w:rsidRPr="00BE06E3">
        <w:rPr>
          <w:rFonts w:asciiTheme="minorHAnsi" w:eastAsia="SimSun" w:hAnsiTheme="minorHAnsi" w:cstheme="minorHAnsi"/>
          <w:bCs/>
        </w:rPr>
        <w:t xml:space="preserve"> – Strategia Națională pentru Dezvoltare Durabilă</w:t>
      </w:r>
      <w:r w:rsidR="00FB3831" w:rsidRPr="00BE06E3">
        <w:rPr>
          <w:rFonts w:asciiTheme="minorHAnsi" w:eastAsia="SimSun" w:hAnsiTheme="minorHAnsi" w:cstheme="minorHAnsi"/>
          <w:bCs/>
        </w:rPr>
        <w:t xml:space="preserve"> a României</w:t>
      </w:r>
      <w:r w:rsidR="00123F22" w:rsidRPr="00BE06E3">
        <w:rPr>
          <w:rFonts w:asciiTheme="minorHAnsi" w:eastAsia="SimSun" w:hAnsiTheme="minorHAnsi" w:cstheme="minorHAnsi"/>
          <w:bCs/>
        </w:rPr>
        <w:t>;</w:t>
      </w:r>
    </w:p>
    <w:p w14:paraId="415F8BC6" w14:textId="77777777" w:rsidR="002A15A4" w:rsidRPr="00BE06E3" w:rsidRDefault="002A15A4" w:rsidP="004A2BAF">
      <w:pPr>
        <w:jc w:val="both"/>
        <w:rPr>
          <w:rFonts w:asciiTheme="minorHAnsi" w:hAnsiTheme="minorHAnsi" w:cstheme="minorHAnsi"/>
        </w:rPr>
      </w:pPr>
      <w:r w:rsidRPr="00BE06E3">
        <w:rPr>
          <w:rFonts w:asciiTheme="minorHAnsi" w:hAnsiTheme="minorHAnsi" w:cstheme="minorHAnsi"/>
          <w:b/>
        </w:rPr>
        <w:t>SNCISI -</w:t>
      </w:r>
      <w:r w:rsidRPr="00BE06E3">
        <w:rPr>
          <w:rFonts w:asciiTheme="minorHAnsi" w:hAnsiTheme="minorHAnsi" w:cstheme="minorHAnsi"/>
        </w:rPr>
        <w:t xml:space="preserve"> Strategia Națională de Cercetare, Inovare și Specializare Inteligentă 2021 - 2027; </w:t>
      </w:r>
    </w:p>
    <w:p w14:paraId="591CCBA3" w14:textId="04890A20" w:rsidR="00066CEF" w:rsidRPr="00BE06E3" w:rsidRDefault="00066CEF" w:rsidP="00066CEF">
      <w:pPr>
        <w:jc w:val="both"/>
        <w:rPr>
          <w:rFonts w:asciiTheme="minorHAnsi" w:hAnsiTheme="minorHAnsi" w:cstheme="minorHAnsi"/>
          <w:szCs w:val="20"/>
        </w:rPr>
      </w:pPr>
      <w:r w:rsidRPr="00BE06E3">
        <w:rPr>
          <w:rFonts w:asciiTheme="minorHAnsi" w:hAnsiTheme="minorHAnsi" w:cstheme="minorHAnsi"/>
          <w:b/>
          <w:bCs/>
        </w:rPr>
        <w:t>SUERD</w:t>
      </w:r>
      <w:r w:rsidRPr="00BE06E3">
        <w:rPr>
          <w:rFonts w:asciiTheme="minorHAnsi" w:hAnsiTheme="minorHAnsi" w:cstheme="minorHAnsi"/>
        </w:rPr>
        <w:t xml:space="preserve"> - Strategia Uniunii Europene pentru Regiunea Dunării;</w:t>
      </w:r>
    </w:p>
    <w:p w14:paraId="72AD28C3" w14:textId="5C0137BC" w:rsidR="002A15A4" w:rsidRPr="00BE06E3" w:rsidRDefault="002A15A4" w:rsidP="00E22C20">
      <w:pPr>
        <w:pStyle w:val="Default"/>
        <w:spacing w:line="276" w:lineRule="auto"/>
        <w:jc w:val="both"/>
        <w:rPr>
          <w:rFonts w:asciiTheme="minorHAnsi" w:hAnsiTheme="minorHAnsi" w:cstheme="minorHAnsi"/>
          <w:szCs w:val="20"/>
        </w:rPr>
      </w:pPr>
      <w:r w:rsidRPr="00BE06E3">
        <w:rPr>
          <w:rFonts w:asciiTheme="minorHAnsi" w:eastAsia="SimSun" w:hAnsiTheme="minorHAnsi" w:cstheme="minorHAnsi"/>
          <w:b/>
          <w:bCs/>
          <w:sz w:val="20"/>
          <w:szCs w:val="20"/>
        </w:rPr>
        <w:lastRenderedPageBreak/>
        <w:t>TEN-T</w:t>
      </w:r>
      <w:r w:rsidRPr="00BE06E3">
        <w:rPr>
          <w:rFonts w:asciiTheme="minorHAnsi" w:eastAsia="SimSun" w:hAnsiTheme="minorHAnsi" w:cstheme="minorHAnsi"/>
          <w:bCs/>
          <w:sz w:val="20"/>
          <w:szCs w:val="20"/>
        </w:rPr>
        <w:t xml:space="preserve"> -</w:t>
      </w:r>
      <w:r w:rsidR="00A20E7D" w:rsidRPr="00BE06E3">
        <w:rPr>
          <w:rFonts w:asciiTheme="minorHAnsi" w:hAnsiTheme="minorHAnsi" w:cstheme="minorHAnsi"/>
          <w:b/>
          <w:bCs/>
          <w:color w:val="auto"/>
          <w:sz w:val="20"/>
          <w:szCs w:val="20"/>
        </w:rPr>
        <w:t xml:space="preserve"> </w:t>
      </w:r>
      <w:r w:rsidR="00A20E7D" w:rsidRPr="00BE06E3">
        <w:rPr>
          <w:rFonts w:asciiTheme="minorHAnsi" w:hAnsiTheme="minorHAnsi" w:cstheme="minorHAnsi"/>
          <w:bCs/>
          <w:color w:val="auto"/>
          <w:sz w:val="20"/>
          <w:szCs w:val="20"/>
        </w:rPr>
        <w:t>Rețeaua Trans-Europeană de Transport</w:t>
      </w:r>
      <w:r w:rsidR="00A20E7D" w:rsidRPr="00BE06E3">
        <w:rPr>
          <w:rFonts w:asciiTheme="minorHAnsi" w:hAnsiTheme="minorHAnsi" w:cstheme="minorHAnsi"/>
          <w:color w:val="auto"/>
          <w:sz w:val="20"/>
          <w:szCs w:val="20"/>
        </w:rPr>
        <w:t xml:space="preserve"> (</w:t>
      </w:r>
      <w:r w:rsidRPr="00BE06E3">
        <w:rPr>
          <w:rFonts w:asciiTheme="minorHAnsi" w:eastAsia="SimSun" w:hAnsiTheme="minorHAnsi" w:cstheme="minorHAnsi"/>
          <w:bCs/>
          <w:sz w:val="20"/>
          <w:szCs w:val="20"/>
        </w:rPr>
        <w:t>Trans-European Transport Networks</w:t>
      </w:r>
      <w:r w:rsidR="00A20E7D" w:rsidRPr="00BE06E3">
        <w:rPr>
          <w:rFonts w:asciiTheme="minorHAnsi" w:eastAsia="SimSun" w:hAnsiTheme="minorHAnsi" w:cstheme="minorHAnsi"/>
          <w:bCs/>
          <w:sz w:val="20"/>
          <w:szCs w:val="20"/>
        </w:rPr>
        <w:t>)</w:t>
      </w:r>
      <w:r w:rsidR="00123F22" w:rsidRPr="00BE06E3">
        <w:rPr>
          <w:rFonts w:asciiTheme="minorHAnsi" w:eastAsia="SimSun" w:hAnsiTheme="minorHAnsi" w:cstheme="minorHAnsi"/>
          <w:bCs/>
          <w:sz w:val="20"/>
          <w:szCs w:val="20"/>
        </w:rPr>
        <w:t>;</w:t>
      </w:r>
    </w:p>
    <w:p w14:paraId="7801ABC2" w14:textId="77777777" w:rsidR="002A15A4" w:rsidRPr="00BE06E3" w:rsidRDefault="002A15A4" w:rsidP="004A2BAF">
      <w:pPr>
        <w:jc w:val="both"/>
        <w:rPr>
          <w:rFonts w:asciiTheme="minorHAnsi" w:eastAsia="SimSun" w:hAnsiTheme="minorHAnsi" w:cstheme="minorHAnsi"/>
          <w:bCs/>
          <w:szCs w:val="20"/>
        </w:rPr>
      </w:pPr>
      <w:r w:rsidRPr="00BE06E3">
        <w:rPr>
          <w:rFonts w:asciiTheme="minorHAnsi" w:eastAsia="SimSun" w:hAnsiTheme="minorHAnsi" w:cstheme="minorHAnsi"/>
          <w:b/>
          <w:bCs/>
          <w:szCs w:val="20"/>
        </w:rPr>
        <w:t>TFUE</w:t>
      </w:r>
      <w:r w:rsidRPr="00BE06E3">
        <w:rPr>
          <w:rFonts w:asciiTheme="minorHAnsi" w:eastAsia="SimSun" w:hAnsiTheme="minorHAnsi" w:cstheme="minorHAnsi"/>
          <w:bCs/>
          <w:szCs w:val="20"/>
        </w:rPr>
        <w:t xml:space="preserve"> – Tratatul de Funcționare al Uniunii Europene</w:t>
      </w:r>
      <w:r w:rsidR="00123F22" w:rsidRPr="00BE06E3">
        <w:rPr>
          <w:rFonts w:asciiTheme="minorHAnsi" w:eastAsia="SimSun" w:hAnsiTheme="minorHAnsi" w:cstheme="minorHAnsi"/>
          <w:bCs/>
          <w:szCs w:val="20"/>
        </w:rPr>
        <w:t>;</w:t>
      </w:r>
    </w:p>
    <w:p w14:paraId="73273978" w14:textId="77777777" w:rsidR="002A15A4" w:rsidRPr="00BE06E3" w:rsidRDefault="002A15A4" w:rsidP="004A2BAF">
      <w:pPr>
        <w:jc w:val="both"/>
        <w:rPr>
          <w:rFonts w:asciiTheme="minorHAnsi" w:eastAsia="SimSun" w:hAnsiTheme="minorHAnsi" w:cstheme="minorHAnsi"/>
          <w:bCs/>
          <w:szCs w:val="20"/>
        </w:rPr>
      </w:pPr>
      <w:r w:rsidRPr="00BE06E3">
        <w:rPr>
          <w:rFonts w:asciiTheme="minorHAnsi" w:eastAsia="SimSun" w:hAnsiTheme="minorHAnsi" w:cstheme="minorHAnsi"/>
          <w:b/>
          <w:bCs/>
          <w:szCs w:val="20"/>
        </w:rPr>
        <w:t>TIC</w:t>
      </w:r>
      <w:r w:rsidRPr="00BE06E3">
        <w:rPr>
          <w:rFonts w:asciiTheme="minorHAnsi" w:eastAsia="SimSun" w:hAnsiTheme="minorHAnsi" w:cstheme="minorHAnsi"/>
          <w:bCs/>
          <w:szCs w:val="20"/>
        </w:rPr>
        <w:t xml:space="preserve"> - Tehnologia Informației și Comunicării</w:t>
      </w:r>
      <w:r w:rsidR="00123F22" w:rsidRPr="00BE06E3">
        <w:rPr>
          <w:rFonts w:asciiTheme="minorHAnsi" w:eastAsia="SimSun" w:hAnsiTheme="minorHAnsi" w:cstheme="minorHAnsi"/>
          <w:bCs/>
          <w:szCs w:val="20"/>
        </w:rPr>
        <w:t>;</w:t>
      </w:r>
    </w:p>
    <w:p w14:paraId="42D4A482" w14:textId="77777777" w:rsidR="002A15A4" w:rsidRPr="00BE06E3" w:rsidRDefault="002A15A4" w:rsidP="004A2BAF">
      <w:pPr>
        <w:jc w:val="both"/>
        <w:rPr>
          <w:rFonts w:asciiTheme="minorHAnsi" w:hAnsiTheme="minorHAnsi" w:cstheme="minorHAnsi"/>
          <w:szCs w:val="20"/>
        </w:rPr>
      </w:pPr>
      <w:r w:rsidRPr="00BE06E3">
        <w:rPr>
          <w:rFonts w:asciiTheme="minorHAnsi" w:hAnsiTheme="minorHAnsi" w:cstheme="minorHAnsi"/>
          <w:b/>
          <w:szCs w:val="20"/>
        </w:rPr>
        <w:t xml:space="preserve">TVA </w:t>
      </w:r>
      <w:r w:rsidRPr="00BE06E3">
        <w:rPr>
          <w:rFonts w:asciiTheme="minorHAnsi" w:hAnsiTheme="minorHAnsi" w:cstheme="minorHAnsi"/>
          <w:szCs w:val="20"/>
        </w:rPr>
        <w:t>- Taxa pe valoare Adăugată</w:t>
      </w:r>
      <w:r w:rsidR="00123F22" w:rsidRPr="00BE06E3">
        <w:rPr>
          <w:rFonts w:asciiTheme="minorHAnsi" w:hAnsiTheme="minorHAnsi" w:cstheme="minorHAnsi"/>
          <w:szCs w:val="20"/>
        </w:rPr>
        <w:t>;</w:t>
      </w:r>
    </w:p>
    <w:p w14:paraId="147502DA" w14:textId="7C6F29C4" w:rsidR="00422194" w:rsidRPr="00BE06E3" w:rsidRDefault="00422194" w:rsidP="00675AE2">
      <w:pPr>
        <w:spacing w:before="0" w:after="0"/>
        <w:jc w:val="both"/>
        <w:rPr>
          <w:rFonts w:asciiTheme="minorHAnsi" w:hAnsiTheme="minorHAnsi" w:cstheme="minorHAnsi"/>
          <w:szCs w:val="20"/>
        </w:rPr>
      </w:pPr>
      <w:r w:rsidRPr="00BE06E3">
        <w:rPr>
          <w:rFonts w:asciiTheme="minorHAnsi" w:hAnsiTheme="minorHAnsi" w:cstheme="minorHAnsi"/>
          <w:b/>
          <w:szCs w:val="20"/>
        </w:rPr>
        <w:t>TFUE</w:t>
      </w:r>
      <w:r w:rsidRPr="00BE06E3">
        <w:rPr>
          <w:rFonts w:asciiTheme="minorHAnsi" w:hAnsiTheme="minorHAnsi" w:cstheme="minorHAnsi"/>
          <w:szCs w:val="20"/>
        </w:rPr>
        <w:t xml:space="preserve"> - Tratatul privind funcționarea Uniunii Europene - versiunea consolidată 2012/C326/01 a</w:t>
      </w:r>
      <w:r w:rsidR="00675AE2" w:rsidRPr="00BE06E3">
        <w:rPr>
          <w:rFonts w:asciiTheme="minorHAnsi" w:hAnsiTheme="minorHAnsi" w:cstheme="minorHAnsi"/>
          <w:szCs w:val="20"/>
        </w:rPr>
        <w:t xml:space="preserve"> </w:t>
      </w:r>
      <w:r w:rsidRPr="00BE06E3">
        <w:rPr>
          <w:rFonts w:asciiTheme="minorHAnsi" w:hAnsiTheme="minorHAnsi" w:cstheme="minorHAnsi"/>
          <w:szCs w:val="20"/>
        </w:rPr>
        <w:t>Tratatului privind Uniunea Europeană și a Tratatului privind funcționarea Uniunii Europene;</w:t>
      </w:r>
    </w:p>
    <w:p w14:paraId="563F109D" w14:textId="7F681097" w:rsidR="00026AC2" w:rsidRPr="00BE06E3" w:rsidRDefault="00AC3EFD" w:rsidP="004A2BAF">
      <w:pPr>
        <w:jc w:val="both"/>
        <w:rPr>
          <w:rFonts w:asciiTheme="minorHAnsi" w:hAnsiTheme="minorHAnsi" w:cstheme="minorHAnsi"/>
          <w:szCs w:val="20"/>
        </w:rPr>
      </w:pPr>
      <w:r w:rsidRPr="00BE06E3">
        <w:rPr>
          <w:rFonts w:asciiTheme="minorHAnsi" w:hAnsiTheme="minorHAnsi" w:cstheme="minorHAnsi"/>
          <w:b/>
          <w:szCs w:val="20"/>
        </w:rPr>
        <w:t>UE</w:t>
      </w:r>
      <w:r w:rsidRPr="00BE06E3">
        <w:rPr>
          <w:rFonts w:asciiTheme="minorHAnsi" w:hAnsiTheme="minorHAnsi" w:cstheme="minorHAnsi"/>
          <w:szCs w:val="20"/>
        </w:rPr>
        <w:t xml:space="preserve"> - Uniunea Europeană</w:t>
      </w:r>
      <w:r w:rsidR="005F45E8" w:rsidRPr="00BE06E3">
        <w:rPr>
          <w:rFonts w:asciiTheme="minorHAnsi" w:hAnsiTheme="minorHAnsi" w:cstheme="minorHAnsi"/>
          <w:szCs w:val="20"/>
        </w:rPr>
        <w:t>.</w:t>
      </w:r>
    </w:p>
    <w:p w14:paraId="13ED5391" w14:textId="77777777" w:rsidR="00026AC2" w:rsidRPr="00BE06E3" w:rsidRDefault="00026AC2" w:rsidP="00675AE2">
      <w:pPr>
        <w:rPr>
          <w:rFonts w:asciiTheme="minorHAnsi" w:hAnsiTheme="minorHAnsi" w:cstheme="minorHAnsi"/>
          <w:b/>
          <w:sz w:val="24"/>
        </w:rPr>
      </w:pPr>
    </w:p>
    <w:p w14:paraId="12ABA530" w14:textId="6115F08A" w:rsidR="00884E53" w:rsidRPr="00BE06E3" w:rsidRDefault="002E55DF" w:rsidP="002E55DF">
      <w:pPr>
        <w:jc w:val="center"/>
        <w:rPr>
          <w:rFonts w:asciiTheme="minorHAnsi" w:eastAsia="SimSun" w:hAnsiTheme="minorHAnsi" w:cstheme="minorHAnsi"/>
          <w:b/>
          <w:bCs/>
          <w:sz w:val="24"/>
        </w:rPr>
      </w:pPr>
      <w:r w:rsidRPr="00BE06E3">
        <w:rPr>
          <w:rFonts w:asciiTheme="minorHAnsi" w:eastAsia="SimSun" w:hAnsiTheme="minorHAnsi" w:cstheme="minorHAnsi"/>
          <w:b/>
          <w:bCs/>
          <w:sz w:val="24"/>
        </w:rPr>
        <w:t xml:space="preserve">Glosar </w:t>
      </w:r>
      <w:r w:rsidR="00C04166" w:rsidRPr="00BE06E3">
        <w:rPr>
          <w:rFonts w:asciiTheme="minorHAnsi" w:eastAsia="SimSun" w:hAnsiTheme="minorHAnsi" w:cstheme="minorHAnsi"/>
          <w:b/>
          <w:bCs/>
          <w:sz w:val="24"/>
        </w:rPr>
        <w:t>de termeni specifici apelului de proiecte</w:t>
      </w:r>
    </w:p>
    <w:p w14:paraId="400561AA" w14:textId="09963D6F" w:rsidR="00A06F23" w:rsidRPr="00BE06E3" w:rsidRDefault="00A06F23" w:rsidP="002E55DF">
      <w:pPr>
        <w:jc w:val="center"/>
        <w:rPr>
          <w:rFonts w:asciiTheme="minorHAnsi" w:eastAsia="SimSun" w:hAnsiTheme="minorHAnsi" w:cstheme="minorHAnsi"/>
          <w:b/>
          <w:bCs/>
          <w:szCs w:val="20"/>
        </w:rPr>
      </w:pPr>
    </w:p>
    <w:p w14:paraId="5EF667BF" w14:textId="3B382E1F" w:rsidR="00904759" w:rsidRPr="00BE06E3" w:rsidRDefault="00904759" w:rsidP="00904759">
      <w:pPr>
        <w:widowControl w:val="0"/>
        <w:pBdr>
          <w:top w:val="nil"/>
          <w:left w:val="nil"/>
          <w:bottom w:val="nil"/>
          <w:right w:val="nil"/>
          <w:between w:val="nil"/>
        </w:pBdr>
        <w:spacing w:beforeLines="60" w:before="144" w:afterLines="60" w:after="144" w:line="264" w:lineRule="auto"/>
        <w:jc w:val="both"/>
        <w:rPr>
          <w:rStyle w:val="slitbdy"/>
          <w:rFonts w:asciiTheme="minorHAnsi" w:hAnsiTheme="minorHAnsi" w:cstheme="minorHAnsi"/>
          <w:sz w:val="24"/>
        </w:rPr>
      </w:pPr>
      <w:r w:rsidRPr="00BE06E3">
        <w:rPr>
          <w:rFonts w:asciiTheme="minorHAnsi" w:hAnsiTheme="minorHAnsi" w:cstheme="minorHAnsi"/>
          <w:b/>
          <w:bCs/>
          <w:sz w:val="24"/>
        </w:rPr>
        <w:t>Activele fixe</w:t>
      </w:r>
      <w:r w:rsidRPr="00BE06E3">
        <w:rPr>
          <w:rFonts w:asciiTheme="minorHAnsi" w:hAnsiTheme="minorHAnsi" w:cstheme="minorHAnsi"/>
          <w:sz w:val="24"/>
        </w:rPr>
        <w:t xml:space="preserve"> sunt acele active deținute de către agenții economici și/sau de către instituțiile publice în scopul utilizării lor pe termen lung. Activele fixe includ activele fixe corporale și necorporale; </w:t>
      </w:r>
    </w:p>
    <w:p w14:paraId="73F1B2FD" w14:textId="01CA4662" w:rsidR="00904759" w:rsidRPr="00BE06E3" w:rsidRDefault="00904759" w:rsidP="00904759">
      <w:pPr>
        <w:widowControl w:val="0"/>
        <w:pBdr>
          <w:top w:val="nil"/>
          <w:left w:val="nil"/>
          <w:bottom w:val="nil"/>
          <w:right w:val="nil"/>
          <w:between w:val="nil"/>
        </w:pBdr>
        <w:spacing w:beforeLines="60" w:before="144" w:afterLines="60" w:after="144" w:line="264" w:lineRule="auto"/>
        <w:jc w:val="both"/>
        <w:rPr>
          <w:rStyle w:val="slitbdy"/>
          <w:rFonts w:asciiTheme="minorHAnsi" w:hAnsiTheme="minorHAnsi" w:cstheme="minorHAnsi"/>
          <w:sz w:val="24"/>
        </w:rPr>
      </w:pPr>
      <w:r w:rsidRPr="00BE06E3">
        <w:rPr>
          <w:rStyle w:val="slitbdy"/>
          <w:rFonts w:asciiTheme="minorHAnsi" w:hAnsiTheme="minorHAnsi" w:cstheme="minorHAnsi"/>
          <w:b/>
          <w:sz w:val="24"/>
          <w:bdr w:val="none" w:sz="0" w:space="0" w:color="auto" w:frame="1"/>
          <w:shd w:val="clear" w:color="auto" w:fill="FFFFFF"/>
        </w:rPr>
        <w:t>Active fixe necorporale</w:t>
      </w:r>
      <w:r w:rsidRPr="00BE06E3">
        <w:rPr>
          <w:rStyle w:val="slitbdy"/>
          <w:rFonts w:asciiTheme="minorHAnsi" w:hAnsiTheme="minorHAnsi" w:cstheme="minorHAnsi"/>
          <w:sz w:val="24"/>
          <w:bdr w:val="none" w:sz="0" w:space="0" w:color="auto" w:frame="1"/>
          <w:shd w:val="clear" w:color="auto" w:fill="FFFFFF"/>
        </w:rPr>
        <w:t xml:space="preserve"> - active fixe fără substanță fizică, care se utilizează pe o perioadă mai mare de un an</w:t>
      </w:r>
      <w:r w:rsidRPr="00BE06E3">
        <w:rPr>
          <w:rFonts w:asciiTheme="minorHAnsi" w:hAnsiTheme="minorHAnsi" w:cstheme="minorHAnsi"/>
          <w:sz w:val="24"/>
        </w:rPr>
        <w:t>; ele pot fi brevete, licențe, mărci comerciale, programe informatice, alte drepturi și active similare, precum și investiții în realizarea de instrumente de comercializare on-line a serviciilor/produselor proprii;</w:t>
      </w:r>
    </w:p>
    <w:p w14:paraId="38D25856" w14:textId="1486974B" w:rsidR="00904759" w:rsidRPr="00BE06E3" w:rsidRDefault="00904759" w:rsidP="00904759">
      <w:pPr>
        <w:widowControl w:val="0"/>
        <w:pBdr>
          <w:top w:val="nil"/>
          <w:left w:val="nil"/>
          <w:bottom w:val="nil"/>
          <w:right w:val="nil"/>
          <w:between w:val="nil"/>
        </w:pBdr>
        <w:spacing w:beforeLines="60" w:before="144" w:afterLines="60" w:after="144" w:line="264" w:lineRule="auto"/>
        <w:jc w:val="both"/>
        <w:rPr>
          <w:rFonts w:asciiTheme="minorHAnsi" w:hAnsiTheme="minorHAnsi" w:cstheme="minorHAnsi"/>
          <w:sz w:val="24"/>
        </w:rPr>
      </w:pPr>
      <w:r w:rsidRPr="00BE06E3">
        <w:rPr>
          <w:rStyle w:val="slitbdy"/>
          <w:rFonts w:asciiTheme="minorHAnsi" w:hAnsiTheme="minorHAnsi" w:cstheme="minorHAnsi"/>
          <w:b/>
          <w:sz w:val="24"/>
          <w:bdr w:val="none" w:sz="0" w:space="0" w:color="auto" w:frame="1"/>
          <w:shd w:val="clear" w:color="auto" w:fill="FFFFFF"/>
        </w:rPr>
        <w:t>Active fixe corporale</w:t>
      </w:r>
      <w:r w:rsidRPr="00BE06E3">
        <w:rPr>
          <w:rStyle w:val="slitbdy"/>
          <w:rFonts w:asciiTheme="minorHAnsi" w:hAnsiTheme="minorHAnsi" w:cstheme="minorHAnsi"/>
          <w:sz w:val="24"/>
          <w:bdr w:val="none" w:sz="0" w:space="0" w:color="auto" w:frame="1"/>
          <w:shd w:val="clear" w:color="auto" w:fill="FFFFFF"/>
        </w:rPr>
        <w:t xml:space="preserve"> - active fixe care îndeplinesc cumulativ două condiții: au valoarea de intrare mai mare 2.500 lei și durata normală de utilizare mai mare de un an;</w:t>
      </w:r>
      <w:r w:rsidRPr="00BE06E3">
        <w:rPr>
          <w:rFonts w:asciiTheme="minorHAnsi" w:hAnsiTheme="minorHAnsi" w:cstheme="minorHAnsi"/>
          <w:b/>
          <w:sz w:val="24"/>
        </w:rPr>
        <w:t xml:space="preserve"> </w:t>
      </w:r>
      <w:r w:rsidRPr="00BE06E3">
        <w:rPr>
          <w:rFonts w:asciiTheme="minorHAnsi" w:hAnsiTheme="minorHAnsi" w:cstheme="minorHAnsi"/>
          <w:sz w:val="24"/>
        </w:rPr>
        <w:t>acestea pot fi terenuri, clădiri și instalații, utilaje și echipamente;</w:t>
      </w:r>
    </w:p>
    <w:p w14:paraId="697E2DB6" w14:textId="77777777" w:rsidR="00D9159A" w:rsidRPr="00BE06E3" w:rsidRDefault="00D9159A" w:rsidP="00D9159A">
      <w:pPr>
        <w:widowControl w:val="0"/>
        <w:pBdr>
          <w:top w:val="nil"/>
          <w:left w:val="nil"/>
          <w:bottom w:val="nil"/>
          <w:right w:val="nil"/>
          <w:between w:val="nil"/>
        </w:pBdr>
        <w:spacing w:beforeLines="60" w:before="144" w:afterLines="60" w:after="144" w:line="264" w:lineRule="auto"/>
        <w:jc w:val="both"/>
        <w:rPr>
          <w:rFonts w:asciiTheme="minorHAnsi" w:hAnsiTheme="minorHAnsi" w:cstheme="minorHAnsi"/>
          <w:sz w:val="24"/>
        </w:rPr>
      </w:pPr>
      <w:r w:rsidRPr="00BE06E3">
        <w:rPr>
          <w:rFonts w:asciiTheme="minorHAnsi" w:hAnsiTheme="minorHAnsi" w:cstheme="minorHAnsi"/>
          <w:b/>
          <w:sz w:val="24"/>
        </w:rPr>
        <w:t>Activitate economică</w:t>
      </w:r>
      <w:r w:rsidRPr="00BE06E3">
        <w:rPr>
          <w:rFonts w:asciiTheme="minorHAnsi" w:hAnsiTheme="minorHAnsi" w:cstheme="minorHAnsi"/>
          <w:sz w:val="24"/>
        </w:rPr>
        <w:t xml:space="preserve"> reprezintă orice activitate care constă în furnizarea de bunuri, servicii și lucrări pe o piață;</w:t>
      </w:r>
    </w:p>
    <w:p w14:paraId="0A66C415" w14:textId="07BD2272" w:rsidR="00D9159A" w:rsidRPr="00BE06E3" w:rsidRDefault="00D9159A" w:rsidP="00904759">
      <w:pPr>
        <w:widowControl w:val="0"/>
        <w:pBdr>
          <w:top w:val="nil"/>
          <w:left w:val="nil"/>
          <w:bottom w:val="nil"/>
          <w:right w:val="nil"/>
          <w:between w:val="nil"/>
        </w:pBdr>
        <w:spacing w:beforeLines="60" w:before="144" w:afterLines="60" w:after="144" w:line="264" w:lineRule="auto"/>
        <w:jc w:val="both"/>
        <w:rPr>
          <w:rFonts w:asciiTheme="minorHAnsi" w:hAnsiTheme="minorHAnsi" w:cstheme="minorHAnsi"/>
          <w:sz w:val="24"/>
        </w:rPr>
      </w:pPr>
      <w:r w:rsidRPr="00BE06E3">
        <w:rPr>
          <w:rFonts w:asciiTheme="minorHAnsi" w:hAnsiTheme="minorHAnsi" w:cstheme="minorHAnsi"/>
          <w:b/>
          <w:sz w:val="24"/>
        </w:rPr>
        <w:t>Ajutor de stat</w:t>
      </w:r>
      <w:r w:rsidRPr="00BE06E3">
        <w:rPr>
          <w:rFonts w:asciiTheme="minorHAnsi" w:hAnsiTheme="minorHAnsi" w:cstheme="minorHAnsi"/>
          <w:sz w:val="24"/>
        </w:rPr>
        <w:t xml:space="preserve"> înseamnă orice măsură care îndeplinește toate criteriile prevăzute la art. 107, alin. (1) din Tratatul privind funcționarea Uniunii Europene (TFUE), respectiv să implice transferul de resurse de stat, să se materializeze într-un avantaj economic de care întreprinderea nu ar fi beneficiat în mod normal, să fie selectiv și să aibă un efect potenţial asupra concurenţei şi comerţului între Statele Membre;</w:t>
      </w:r>
    </w:p>
    <w:p w14:paraId="1FECCC0C" w14:textId="068F0C2A" w:rsidR="00A06F23" w:rsidRPr="00BE06E3" w:rsidRDefault="00A06F23" w:rsidP="00A06F23">
      <w:pPr>
        <w:widowControl w:val="0"/>
        <w:pBdr>
          <w:top w:val="nil"/>
          <w:left w:val="nil"/>
          <w:bottom w:val="nil"/>
          <w:right w:val="nil"/>
          <w:between w:val="nil"/>
        </w:pBdr>
        <w:spacing w:after="0"/>
        <w:jc w:val="both"/>
        <w:rPr>
          <w:rFonts w:asciiTheme="minorHAnsi" w:hAnsiTheme="minorHAnsi" w:cstheme="minorHAnsi"/>
          <w:sz w:val="24"/>
          <w:shd w:val="clear" w:color="auto" w:fill="FFFFFF"/>
        </w:rPr>
      </w:pPr>
      <w:r w:rsidRPr="00BE06E3">
        <w:rPr>
          <w:rFonts w:asciiTheme="minorHAnsi" w:hAnsiTheme="minorHAnsi" w:cstheme="minorHAnsi"/>
          <w:b/>
          <w:sz w:val="24"/>
        </w:rPr>
        <w:t>Analiza DNSH</w:t>
      </w:r>
      <w:r w:rsidRPr="00BE06E3">
        <w:rPr>
          <w:rFonts w:asciiTheme="minorHAnsi" w:hAnsiTheme="minorHAnsi" w:cstheme="minorHAnsi"/>
          <w:sz w:val="24"/>
        </w:rPr>
        <w:t xml:space="preserve"> – </w:t>
      </w:r>
      <w:r w:rsidR="00880E9E" w:rsidRPr="00BE06E3">
        <w:rPr>
          <w:rFonts w:asciiTheme="minorHAnsi" w:hAnsiTheme="minorHAnsi" w:cstheme="minorHAnsi"/>
          <w:sz w:val="24"/>
          <w:shd w:val="clear" w:color="auto" w:fill="FFFFFF"/>
        </w:rPr>
        <w:t>analiza realizată</w:t>
      </w:r>
      <w:r w:rsidRPr="00BE06E3">
        <w:rPr>
          <w:rFonts w:asciiTheme="minorHAnsi" w:hAnsiTheme="minorHAnsi" w:cstheme="minorHAnsi"/>
          <w:sz w:val="24"/>
          <w:shd w:val="clear" w:color="auto" w:fill="FFFFFF"/>
        </w:rPr>
        <w:t xml:space="preserve"> pentru a determina dacă o activitate economică/investiţie este durabilă din punctul de vedere al mediului, în conformitate cu prevederile Regulamentului (UE) 2020/852 (“Regulamentul privind taxonomia”);</w:t>
      </w:r>
    </w:p>
    <w:p w14:paraId="7CC9D5DF" w14:textId="77777777" w:rsidR="00762DED" w:rsidRPr="00BE06E3" w:rsidRDefault="00762DED" w:rsidP="00762DED">
      <w:pPr>
        <w:widowControl w:val="0"/>
        <w:pBdr>
          <w:top w:val="nil"/>
          <w:left w:val="nil"/>
          <w:bottom w:val="nil"/>
          <w:right w:val="nil"/>
          <w:between w:val="nil"/>
        </w:pBdr>
        <w:spacing w:before="240" w:after="0"/>
        <w:jc w:val="both"/>
        <w:rPr>
          <w:rFonts w:asciiTheme="minorHAnsi" w:hAnsiTheme="minorHAnsi" w:cstheme="minorHAnsi"/>
          <w:sz w:val="24"/>
        </w:rPr>
      </w:pPr>
      <w:r w:rsidRPr="00BE06E3">
        <w:rPr>
          <w:rFonts w:asciiTheme="minorHAnsi" w:hAnsiTheme="minorHAnsi" w:cstheme="minorHAnsi"/>
          <w:b/>
          <w:sz w:val="24"/>
        </w:rPr>
        <w:t xml:space="preserve">Caracterul durabil </w:t>
      </w:r>
      <w:r w:rsidRPr="00BE06E3">
        <w:rPr>
          <w:rFonts w:asciiTheme="minorHAnsi" w:hAnsiTheme="minorHAnsi" w:cstheme="minorHAnsi"/>
          <w:sz w:val="24"/>
        </w:rPr>
        <w:t>al operațiunilor este definit în conformitate cu art. 65 din Regulamentul UE 1060/2021 și se referă la menținerea unei operațiuni constând în investiții în infrastructură sau în investiții productive pe o perioadă de trei/cinci ani de la efectuarea plății finale sau în termenul prevăzut de normele privind ajutoarele de stat. Astfel, pe perioada respectivă, beneficiarul nu trebuie să:</w:t>
      </w:r>
    </w:p>
    <w:p w14:paraId="661ED38E" w14:textId="77777777" w:rsidR="00762DED" w:rsidRPr="00BE06E3" w:rsidRDefault="00762DED" w:rsidP="00762DED">
      <w:pPr>
        <w:pStyle w:val="ListParagraph"/>
        <w:widowControl w:val="0"/>
        <w:numPr>
          <w:ilvl w:val="0"/>
          <w:numId w:val="4"/>
        </w:numPr>
        <w:pBdr>
          <w:top w:val="nil"/>
          <w:left w:val="nil"/>
          <w:bottom w:val="nil"/>
          <w:right w:val="nil"/>
          <w:between w:val="nil"/>
        </w:pBdr>
        <w:spacing w:before="240" w:after="0"/>
        <w:rPr>
          <w:rFonts w:asciiTheme="minorHAnsi" w:hAnsiTheme="minorHAnsi" w:cstheme="minorHAnsi"/>
          <w:szCs w:val="24"/>
        </w:rPr>
      </w:pPr>
      <w:r w:rsidRPr="00BE06E3">
        <w:rPr>
          <w:rFonts w:asciiTheme="minorHAnsi" w:hAnsiTheme="minorHAnsi" w:cstheme="minorHAnsi"/>
          <w:szCs w:val="24"/>
        </w:rPr>
        <w:t xml:space="preserve">înceteze activitatea productivă sau să o transfere în afara regiunii de nivel NUTS 2 în </w:t>
      </w:r>
      <w:r w:rsidRPr="00BE06E3">
        <w:rPr>
          <w:rFonts w:asciiTheme="minorHAnsi" w:hAnsiTheme="minorHAnsi" w:cstheme="minorHAnsi"/>
          <w:szCs w:val="24"/>
        </w:rPr>
        <w:lastRenderedPageBreak/>
        <w:t xml:space="preserve">care a primit sprijin; </w:t>
      </w:r>
    </w:p>
    <w:p w14:paraId="47A6DF0E" w14:textId="77777777" w:rsidR="00762DED" w:rsidRPr="00BE06E3" w:rsidRDefault="00762DED" w:rsidP="00762DED">
      <w:pPr>
        <w:pStyle w:val="ListParagraph"/>
        <w:widowControl w:val="0"/>
        <w:numPr>
          <w:ilvl w:val="0"/>
          <w:numId w:val="4"/>
        </w:numPr>
        <w:pBdr>
          <w:top w:val="nil"/>
          <w:left w:val="nil"/>
          <w:bottom w:val="nil"/>
          <w:right w:val="nil"/>
          <w:between w:val="nil"/>
        </w:pBdr>
        <w:spacing w:before="240" w:after="0"/>
        <w:rPr>
          <w:rFonts w:asciiTheme="minorHAnsi" w:hAnsiTheme="minorHAnsi" w:cstheme="minorHAnsi"/>
          <w:szCs w:val="24"/>
        </w:rPr>
      </w:pPr>
      <w:r w:rsidRPr="00BE06E3">
        <w:rPr>
          <w:rFonts w:asciiTheme="minorHAnsi" w:hAnsiTheme="minorHAnsi" w:cstheme="minorHAnsi"/>
          <w:szCs w:val="24"/>
        </w:rPr>
        <w:t xml:space="preserve">să efectueze o modificare a proprietății asupra unui element de infrastructură care conferă un avantaj nejustificat unei întreprinderi sau unui organism public; </w:t>
      </w:r>
    </w:p>
    <w:p w14:paraId="520F52BA" w14:textId="266AE391" w:rsidR="00762DED" w:rsidRPr="00BE06E3" w:rsidRDefault="00762DED" w:rsidP="00A06F23">
      <w:pPr>
        <w:pStyle w:val="ListParagraph"/>
        <w:widowControl w:val="0"/>
        <w:numPr>
          <w:ilvl w:val="0"/>
          <w:numId w:val="4"/>
        </w:numPr>
        <w:pBdr>
          <w:top w:val="nil"/>
          <w:left w:val="nil"/>
          <w:bottom w:val="nil"/>
          <w:right w:val="nil"/>
          <w:between w:val="nil"/>
        </w:pBdr>
        <w:spacing w:before="240" w:after="0"/>
        <w:rPr>
          <w:rFonts w:asciiTheme="minorHAnsi" w:hAnsiTheme="minorHAnsi" w:cstheme="minorHAnsi"/>
          <w:szCs w:val="24"/>
        </w:rPr>
      </w:pPr>
      <w:r w:rsidRPr="00BE06E3">
        <w:rPr>
          <w:rFonts w:asciiTheme="minorHAnsi" w:hAnsiTheme="minorHAnsi" w:cstheme="minorHAnsi"/>
          <w:szCs w:val="24"/>
        </w:rPr>
        <w:t>să efectueze o modificare substanțială care afectează natura, obiectivele sau condițiile de implementare a operațiunii și care ar conduce la subminarea obiectivelor inițiale ale acesteia.</w:t>
      </w:r>
    </w:p>
    <w:p w14:paraId="49F3F548" w14:textId="70E85FA6" w:rsidR="00880E9E" w:rsidRPr="00BE06E3" w:rsidRDefault="00880E9E" w:rsidP="002E55DF">
      <w:pPr>
        <w:widowControl w:val="0"/>
        <w:pBdr>
          <w:top w:val="nil"/>
          <w:left w:val="nil"/>
          <w:bottom w:val="nil"/>
          <w:right w:val="nil"/>
          <w:between w:val="nil"/>
        </w:pBdr>
        <w:spacing w:before="240" w:after="0"/>
        <w:jc w:val="both"/>
        <w:rPr>
          <w:rFonts w:asciiTheme="minorHAnsi" w:hAnsiTheme="minorHAnsi" w:cstheme="minorHAnsi"/>
          <w:b/>
          <w:sz w:val="24"/>
        </w:rPr>
      </w:pPr>
      <w:r w:rsidRPr="00BE06E3">
        <w:rPr>
          <w:rFonts w:asciiTheme="minorHAnsi" w:hAnsiTheme="minorHAnsi" w:cstheme="minorHAnsi"/>
          <w:b/>
          <w:sz w:val="24"/>
        </w:rPr>
        <w:t xml:space="preserve">Contractul de finanțare </w:t>
      </w:r>
      <w:r w:rsidRPr="00BE06E3">
        <w:rPr>
          <w:rFonts w:asciiTheme="minorHAnsi" w:hAnsiTheme="minorHAnsi" w:cstheme="minorHAnsi"/>
          <w:sz w:val="24"/>
        </w:rPr>
        <w:t>este actul juridic, cu titlu oneros, de adeziune, încheiat între autoritatea de management, și beneficiar, astfel cum este definit la art. 2 pct. 9 din Regulamentul (UE) 2021/1060, prin care se stabilesc drepturile și obligațiile corelative ale părților în vederea implementării operațiunilor;</w:t>
      </w:r>
    </w:p>
    <w:p w14:paraId="0CB69315" w14:textId="1506A9D1" w:rsidR="00D93EDC" w:rsidRPr="00BE06E3" w:rsidRDefault="00E564E4" w:rsidP="00D87A5D">
      <w:pPr>
        <w:spacing w:after="0"/>
        <w:jc w:val="both"/>
        <w:rPr>
          <w:rFonts w:asciiTheme="minorHAnsi" w:eastAsiaTheme="minorHAnsi" w:hAnsiTheme="minorHAnsi" w:cstheme="minorHAnsi"/>
          <w:sz w:val="24"/>
        </w:rPr>
      </w:pPr>
      <w:r w:rsidRPr="00BE06E3">
        <w:rPr>
          <w:rFonts w:asciiTheme="minorHAnsi" w:eastAsiaTheme="minorHAnsi" w:hAnsiTheme="minorHAnsi" w:cstheme="minorHAnsi"/>
          <w:b/>
          <w:sz w:val="24"/>
        </w:rPr>
        <w:t xml:space="preserve">Imobilul </w:t>
      </w:r>
      <w:r w:rsidRPr="00BE06E3">
        <w:rPr>
          <w:rFonts w:asciiTheme="minorHAnsi" w:eastAsiaTheme="minorHAnsi" w:hAnsiTheme="minorHAnsi" w:cstheme="minorHAnsi"/>
          <w:sz w:val="24"/>
        </w:rPr>
        <w:t>este definit conform Legii nr. 7/1996 a cadastrului și a publicității imobiliare, cu modificările și completările ulterioare, prin care se înţelege terenul, cu sau fără construcţii, de pe teritoriul unei unităţi administrativ-teritoriale, aparţinând unuia sau mai multor proprietari, care se identifică printr-un număr cadastral unic;</w:t>
      </w:r>
    </w:p>
    <w:p w14:paraId="3BAD7B43" w14:textId="3116F804" w:rsidR="00FC1128" w:rsidRPr="00BE06E3" w:rsidRDefault="00FC1128" w:rsidP="00D87A5D">
      <w:pPr>
        <w:spacing w:after="0"/>
        <w:jc w:val="both"/>
        <w:rPr>
          <w:rFonts w:asciiTheme="minorHAnsi" w:eastAsiaTheme="minorHAnsi" w:hAnsiTheme="minorHAnsi" w:cstheme="minorHAnsi"/>
          <w:sz w:val="24"/>
        </w:rPr>
      </w:pPr>
      <w:r w:rsidRPr="00BE06E3">
        <w:rPr>
          <w:rFonts w:asciiTheme="minorHAnsi" w:hAnsiTheme="minorHAnsi" w:cstheme="minorHAnsi"/>
          <w:b/>
          <w:sz w:val="24"/>
          <w:shd w:val="clear" w:color="auto" w:fill="FFFFFF"/>
        </w:rPr>
        <w:t>Imunizare la schimbările climatice</w:t>
      </w:r>
      <w:r w:rsidRPr="00BE06E3">
        <w:rPr>
          <w:rFonts w:asciiTheme="minorHAnsi" w:hAnsiTheme="minorHAnsi" w:cstheme="minorHAnsi"/>
          <w:sz w:val="24"/>
          <w:shd w:val="clear" w:color="auto" w:fill="FFFFFF"/>
        </w:rPr>
        <w:t xml:space="preserve"> înseamnă un proces de prevenire a vulnerabilității infrastructurii la potențialele efecte pe termen lung ale schimbărilor climatice, asigurându-se în același timp respectarea principiului „eficiența energetică înainte de toate” și faptul că nivelul emisiilor de gaze cu efect de seră generate de proiect este compatibil cu obiectivul privind neutralitatea climatică stabilit pentru 2050;</w:t>
      </w:r>
    </w:p>
    <w:p w14:paraId="40EB9437" w14:textId="52709592" w:rsidR="00E564E4" w:rsidRPr="00BE06E3" w:rsidRDefault="00E564E4" w:rsidP="00E564E4">
      <w:pPr>
        <w:widowControl w:val="0"/>
        <w:pBdr>
          <w:top w:val="nil"/>
          <w:left w:val="nil"/>
          <w:bottom w:val="nil"/>
          <w:right w:val="nil"/>
          <w:between w:val="nil"/>
        </w:pBdr>
        <w:spacing w:before="240" w:after="0"/>
        <w:jc w:val="both"/>
        <w:rPr>
          <w:rFonts w:asciiTheme="minorHAnsi" w:hAnsiTheme="minorHAnsi" w:cstheme="minorHAnsi"/>
          <w:sz w:val="24"/>
        </w:rPr>
      </w:pPr>
      <w:r w:rsidRPr="00BE06E3">
        <w:rPr>
          <w:rFonts w:asciiTheme="minorHAnsi" w:hAnsiTheme="minorHAnsi" w:cstheme="minorHAnsi"/>
          <w:b/>
          <w:sz w:val="24"/>
        </w:rPr>
        <w:t xml:space="preserve">Regiunea de Dezvoltare </w:t>
      </w:r>
      <w:r w:rsidR="00D93EDC" w:rsidRPr="00BE06E3">
        <w:rPr>
          <w:rFonts w:asciiTheme="minorHAnsi" w:hAnsiTheme="minorHAnsi" w:cstheme="minorHAnsi"/>
          <w:b/>
          <w:sz w:val="24"/>
        </w:rPr>
        <w:t>Sud</w:t>
      </w:r>
      <w:r w:rsidRPr="00BE06E3">
        <w:rPr>
          <w:rFonts w:asciiTheme="minorHAnsi" w:hAnsiTheme="minorHAnsi" w:cstheme="minorHAnsi"/>
          <w:b/>
          <w:sz w:val="24"/>
        </w:rPr>
        <w:t>-Vest</w:t>
      </w:r>
      <w:r w:rsidR="00D93EDC" w:rsidRPr="00BE06E3">
        <w:rPr>
          <w:rFonts w:asciiTheme="minorHAnsi" w:hAnsiTheme="minorHAnsi" w:cstheme="minorHAnsi"/>
          <w:b/>
          <w:sz w:val="24"/>
        </w:rPr>
        <w:t xml:space="preserve"> Oltenia</w:t>
      </w:r>
      <w:r w:rsidRPr="00BE06E3">
        <w:rPr>
          <w:rFonts w:asciiTheme="minorHAnsi" w:hAnsiTheme="minorHAnsi" w:cstheme="minorHAnsi"/>
          <w:sz w:val="24"/>
        </w:rPr>
        <w:t xml:space="preserve"> cuprinde județele</w:t>
      </w:r>
      <w:r w:rsidR="00D93EDC" w:rsidRPr="00BE06E3">
        <w:rPr>
          <w:rFonts w:asciiTheme="minorHAnsi" w:hAnsiTheme="minorHAnsi" w:cstheme="minorHAnsi"/>
          <w:sz w:val="24"/>
        </w:rPr>
        <w:t xml:space="preserve"> </w:t>
      </w:r>
      <w:hyperlink r:id="rId8" w:tooltip="Dolj" w:history="1">
        <w:r w:rsidR="00D93EDC" w:rsidRPr="00BE06E3">
          <w:rPr>
            <w:rStyle w:val="Hyperlink"/>
            <w:rFonts w:asciiTheme="minorHAnsi" w:hAnsiTheme="minorHAnsi" w:cstheme="minorHAnsi"/>
            <w:color w:val="auto"/>
            <w:sz w:val="24"/>
            <w:shd w:val="clear" w:color="auto" w:fill="FFFFFF"/>
          </w:rPr>
          <w:t>Dolj</w:t>
        </w:r>
      </w:hyperlink>
      <w:r w:rsidR="00D93EDC" w:rsidRPr="00BE06E3">
        <w:rPr>
          <w:rFonts w:asciiTheme="minorHAnsi" w:hAnsiTheme="minorHAnsi" w:cstheme="minorHAnsi"/>
          <w:sz w:val="24"/>
          <w:shd w:val="clear" w:color="auto" w:fill="FFFFFF"/>
        </w:rPr>
        <w:t>, </w:t>
      </w:r>
      <w:hyperlink r:id="rId9" w:tooltip="Gorj" w:history="1">
        <w:r w:rsidR="00D93EDC" w:rsidRPr="00BE06E3">
          <w:rPr>
            <w:rStyle w:val="Hyperlink"/>
            <w:rFonts w:asciiTheme="minorHAnsi" w:hAnsiTheme="minorHAnsi" w:cstheme="minorHAnsi"/>
            <w:color w:val="auto"/>
            <w:sz w:val="24"/>
            <w:shd w:val="clear" w:color="auto" w:fill="FFFFFF"/>
          </w:rPr>
          <w:t>Gorj</w:t>
        </w:r>
      </w:hyperlink>
      <w:r w:rsidR="00D93EDC" w:rsidRPr="00BE06E3">
        <w:rPr>
          <w:rFonts w:asciiTheme="minorHAnsi" w:hAnsiTheme="minorHAnsi" w:cstheme="minorHAnsi"/>
          <w:sz w:val="24"/>
          <w:shd w:val="clear" w:color="auto" w:fill="FFFFFF"/>
        </w:rPr>
        <w:t>, </w:t>
      </w:r>
      <w:hyperlink r:id="rId10" w:tooltip="Mehedinți" w:history="1">
        <w:r w:rsidR="00D93EDC" w:rsidRPr="00BE06E3">
          <w:rPr>
            <w:rStyle w:val="Hyperlink"/>
            <w:rFonts w:asciiTheme="minorHAnsi" w:hAnsiTheme="minorHAnsi" w:cstheme="minorHAnsi"/>
            <w:color w:val="auto"/>
            <w:sz w:val="24"/>
            <w:shd w:val="clear" w:color="auto" w:fill="FFFFFF"/>
          </w:rPr>
          <w:t>Mehedinți</w:t>
        </w:r>
      </w:hyperlink>
      <w:r w:rsidR="00D93EDC" w:rsidRPr="00BE06E3">
        <w:rPr>
          <w:rFonts w:asciiTheme="minorHAnsi" w:hAnsiTheme="minorHAnsi" w:cstheme="minorHAnsi"/>
          <w:sz w:val="24"/>
          <w:shd w:val="clear" w:color="auto" w:fill="FFFFFF"/>
        </w:rPr>
        <w:t>, </w:t>
      </w:r>
      <w:hyperlink r:id="rId11" w:tooltip="Olt" w:history="1">
        <w:r w:rsidR="00D93EDC" w:rsidRPr="00BE06E3">
          <w:rPr>
            <w:rStyle w:val="Hyperlink"/>
            <w:rFonts w:asciiTheme="minorHAnsi" w:hAnsiTheme="minorHAnsi" w:cstheme="minorHAnsi"/>
            <w:color w:val="auto"/>
            <w:sz w:val="24"/>
            <w:shd w:val="clear" w:color="auto" w:fill="FFFFFF"/>
          </w:rPr>
          <w:t>Olt</w:t>
        </w:r>
      </w:hyperlink>
      <w:r w:rsidR="00D93EDC" w:rsidRPr="00BE06E3">
        <w:rPr>
          <w:rFonts w:asciiTheme="minorHAnsi" w:hAnsiTheme="minorHAnsi" w:cstheme="minorHAnsi"/>
          <w:sz w:val="24"/>
          <w:shd w:val="clear" w:color="auto" w:fill="FFFFFF"/>
        </w:rPr>
        <w:t> și </w:t>
      </w:r>
      <w:hyperlink r:id="rId12" w:tooltip="Vâlcea" w:history="1">
        <w:r w:rsidR="00D93EDC" w:rsidRPr="00BE06E3">
          <w:rPr>
            <w:rStyle w:val="Hyperlink"/>
            <w:rFonts w:asciiTheme="minorHAnsi" w:hAnsiTheme="minorHAnsi" w:cstheme="minorHAnsi"/>
            <w:color w:val="auto"/>
            <w:sz w:val="24"/>
            <w:shd w:val="clear" w:color="auto" w:fill="FFFFFF"/>
          </w:rPr>
          <w:t>Vâlcea</w:t>
        </w:r>
      </w:hyperlink>
      <w:r w:rsidRPr="00BE06E3">
        <w:rPr>
          <w:rFonts w:asciiTheme="minorHAnsi" w:hAnsiTheme="minorHAnsi" w:cstheme="minorHAnsi"/>
          <w:sz w:val="24"/>
        </w:rPr>
        <w:t>, astfel cum au fost acestea grupate în cadrul Anexei la Legea nr. 315 din 28 iunie 2004 privind dezvoltarea regională în România.</w:t>
      </w:r>
      <w:r w:rsidRPr="00BE06E3">
        <w:rPr>
          <w:rFonts w:asciiTheme="minorHAnsi" w:hAnsiTheme="minorHAnsi" w:cstheme="minorHAnsi"/>
          <w:sz w:val="24"/>
          <w:vertAlign w:val="superscript"/>
        </w:rPr>
        <w:t xml:space="preserve"> </w:t>
      </w:r>
      <w:r w:rsidRPr="00BE06E3">
        <w:rPr>
          <w:rFonts w:asciiTheme="minorHAnsi" w:hAnsiTheme="minorHAnsi" w:cstheme="minorHAnsi"/>
          <w:sz w:val="24"/>
        </w:rPr>
        <w:t>Regiunea este o entitate teritorială specifică, fără statut administrativ și fără personalitate juridică, ce corespunde diviziunilor de nivel NUTS 2 în Nomenclatorul unităților statistice teritoriale ale Uniunii Europene</w:t>
      </w:r>
      <w:r w:rsidR="0012472B" w:rsidRPr="00BE06E3">
        <w:rPr>
          <w:rFonts w:asciiTheme="minorHAnsi" w:hAnsiTheme="minorHAnsi" w:cstheme="minorHAnsi"/>
          <w:sz w:val="24"/>
        </w:rPr>
        <w:t>.</w:t>
      </w:r>
    </w:p>
    <w:p w14:paraId="15C8425D" w14:textId="77777777" w:rsidR="0098638A" w:rsidRPr="00BE06E3" w:rsidRDefault="0098638A" w:rsidP="00A06F23">
      <w:pPr>
        <w:widowControl w:val="0"/>
        <w:pBdr>
          <w:top w:val="nil"/>
          <w:left w:val="nil"/>
          <w:bottom w:val="nil"/>
          <w:right w:val="nil"/>
          <w:between w:val="nil"/>
        </w:pBdr>
        <w:spacing w:after="0"/>
        <w:jc w:val="both"/>
        <w:rPr>
          <w:rFonts w:asciiTheme="minorHAnsi" w:eastAsiaTheme="minorHAnsi" w:hAnsiTheme="minorHAnsi" w:cstheme="minorHAnsi"/>
          <w:szCs w:val="20"/>
        </w:rPr>
      </w:pPr>
    </w:p>
    <w:p w14:paraId="6D55437C" w14:textId="77777777" w:rsidR="00A06F23" w:rsidRPr="00BE06E3" w:rsidRDefault="00A06F23" w:rsidP="002E55DF">
      <w:pPr>
        <w:jc w:val="center"/>
        <w:rPr>
          <w:rFonts w:asciiTheme="minorHAnsi" w:eastAsia="SimSun" w:hAnsiTheme="minorHAnsi" w:cstheme="minorHAnsi"/>
          <w:b/>
          <w:bCs/>
          <w:color w:val="FF0000"/>
          <w:sz w:val="24"/>
        </w:rPr>
      </w:pPr>
    </w:p>
    <w:p w14:paraId="5DECEF2A" w14:textId="747789C1" w:rsidR="00884E53" w:rsidRPr="00BE06E3" w:rsidRDefault="00884E53" w:rsidP="002E55DF">
      <w:pPr>
        <w:jc w:val="center"/>
        <w:rPr>
          <w:rFonts w:asciiTheme="minorHAnsi" w:hAnsiTheme="minorHAnsi" w:cstheme="minorHAnsi"/>
          <w:b/>
          <w:color w:val="FF0000"/>
          <w:sz w:val="24"/>
        </w:rPr>
      </w:pPr>
    </w:p>
    <w:p w14:paraId="28ECA1CF" w14:textId="77777777" w:rsidR="00760BD7" w:rsidRPr="00BE06E3" w:rsidRDefault="00760BD7" w:rsidP="002E55DF">
      <w:pPr>
        <w:jc w:val="center"/>
        <w:rPr>
          <w:rFonts w:asciiTheme="minorHAnsi" w:hAnsiTheme="minorHAnsi" w:cstheme="minorHAnsi"/>
          <w:b/>
          <w:color w:val="FF0000"/>
          <w:sz w:val="24"/>
        </w:rPr>
      </w:pPr>
    </w:p>
    <w:sectPr w:rsidR="00760BD7" w:rsidRPr="00BE06E3" w:rsidSect="00675AE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D4E7" w14:textId="77777777" w:rsidR="001C5F23" w:rsidRDefault="001C5F23" w:rsidP="007D26DE">
      <w:pPr>
        <w:spacing w:before="0" w:after="0"/>
      </w:pPr>
      <w:r>
        <w:separator/>
      </w:r>
    </w:p>
  </w:endnote>
  <w:endnote w:type="continuationSeparator" w:id="0">
    <w:p w14:paraId="343CE616" w14:textId="77777777" w:rsidR="001C5F23" w:rsidRDefault="001C5F23" w:rsidP="007D26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D778" w14:textId="77777777" w:rsidR="00FF14FE" w:rsidRDefault="00FF1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03431"/>
      <w:docPartObj>
        <w:docPartGallery w:val="Page Numbers (Bottom of Page)"/>
        <w:docPartUnique/>
      </w:docPartObj>
    </w:sdtPr>
    <w:sdtEndPr>
      <w:rPr>
        <w:rFonts w:asciiTheme="minorHAnsi" w:hAnsiTheme="minorHAnsi" w:cstheme="minorHAnsi"/>
        <w:noProof/>
      </w:rPr>
    </w:sdtEndPr>
    <w:sdtContent>
      <w:p w14:paraId="33D26C64" w14:textId="2B6145DB" w:rsidR="00AC0CCB" w:rsidRPr="00FF14FE" w:rsidRDefault="00705074">
        <w:pPr>
          <w:pStyle w:val="Footer"/>
          <w:jc w:val="center"/>
          <w:rPr>
            <w:rFonts w:asciiTheme="minorHAnsi" w:hAnsiTheme="minorHAnsi" w:cstheme="minorHAnsi"/>
          </w:rPr>
        </w:pPr>
        <w:r w:rsidRPr="00FF14FE">
          <w:rPr>
            <w:rFonts w:asciiTheme="minorHAnsi" w:hAnsiTheme="minorHAnsi" w:cstheme="minorHAnsi"/>
          </w:rPr>
          <w:fldChar w:fldCharType="begin"/>
        </w:r>
        <w:r w:rsidR="00AC0CCB" w:rsidRPr="00FF14FE">
          <w:rPr>
            <w:rFonts w:asciiTheme="minorHAnsi" w:hAnsiTheme="minorHAnsi" w:cstheme="minorHAnsi"/>
          </w:rPr>
          <w:instrText xml:space="preserve"> PAGE   \* MERGEFORMAT </w:instrText>
        </w:r>
        <w:r w:rsidRPr="00FF14FE">
          <w:rPr>
            <w:rFonts w:asciiTheme="minorHAnsi" w:hAnsiTheme="minorHAnsi" w:cstheme="minorHAnsi"/>
          </w:rPr>
          <w:fldChar w:fldCharType="separate"/>
        </w:r>
        <w:r w:rsidR="00FC1128" w:rsidRPr="00FF14FE">
          <w:rPr>
            <w:rFonts w:asciiTheme="minorHAnsi" w:hAnsiTheme="minorHAnsi" w:cstheme="minorHAnsi"/>
            <w:noProof/>
          </w:rPr>
          <w:t>5</w:t>
        </w:r>
        <w:r w:rsidRPr="00FF14FE">
          <w:rPr>
            <w:rFonts w:asciiTheme="minorHAnsi" w:hAnsiTheme="minorHAnsi" w:cstheme="minorHAnsi"/>
            <w:noProof/>
          </w:rPr>
          <w:fldChar w:fldCharType="end"/>
        </w:r>
      </w:p>
    </w:sdtContent>
  </w:sdt>
  <w:p w14:paraId="2A94F5B2" w14:textId="77777777" w:rsidR="00AC0CCB" w:rsidRDefault="00AC0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DE6E" w14:textId="77777777" w:rsidR="00FF14FE" w:rsidRDefault="00FF1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0D5E" w14:textId="77777777" w:rsidR="001C5F23" w:rsidRDefault="001C5F23" w:rsidP="007D26DE">
      <w:pPr>
        <w:spacing w:before="0" w:after="0"/>
      </w:pPr>
      <w:r>
        <w:separator/>
      </w:r>
    </w:p>
  </w:footnote>
  <w:footnote w:type="continuationSeparator" w:id="0">
    <w:p w14:paraId="1115F58C" w14:textId="77777777" w:rsidR="001C5F23" w:rsidRDefault="001C5F23" w:rsidP="007D26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D4D5" w14:textId="77777777" w:rsidR="00FF14FE" w:rsidRDefault="00FF1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7" w:type="dxa"/>
      <w:tblInd w:w="108" w:type="dxa"/>
      <w:tblBorders>
        <w:bottom w:val="single" w:sz="4" w:space="0" w:color="003366"/>
      </w:tblBorders>
      <w:tblLook w:val="0000" w:firstRow="0" w:lastRow="0" w:firstColumn="0" w:lastColumn="0" w:noHBand="0" w:noVBand="0"/>
    </w:tblPr>
    <w:tblGrid>
      <w:gridCol w:w="9197"/>
      <w:gridCol w:w="1160"/>
    </w:tblGrid>
    <w:tr w:rsidR="001B7380" w:rsidRPr="00675AE2" w14:paraId="3413D440" w14:textId="77777777" w:rsidTr="00B76126">
      <w:tc>
        <w:tcPr>
          <w:tcW w:w="9197" w:type="dxa"/>
          <w:tcBorders>
            <w:bottom w:val="single" w:sz="4" w:space="0" w:color="333333"/>
          </w:tcBorders>
        </w:tcPr>
        <w:p w14:paraId="294BFF75" w14:textId="301A4127" w:rsidR="00A30822" w:rsidRPr="00675AE2" w:rsidRDefault="00A30822" w:rsidP="00B76126">
          <w:pPr>
            <w:pStyle w:val="5Normal"/>
            <w:spacing w:before="40" w:after="40"/>
            <w:rPr>
              <w:rFonts w:asciiTheme="minorHAnsi" w:hAnsiTheme="minorHAnsi" w:cstheme="minorHAnsi"/>
              <w:b/>
              <w:sz w:val="16"/>
              <w:szCs w:val="16"/>
            </w:rPr>
          </w:pPr>
          <w:r w:rsidRPr="00675AE2">
            <w:rPr>
              <w:rFonts w:asciiTheme="minorHAnsi" w:hAnsiTheme="minorHAnsi" w:cstheme="minorHAnsi"/>
              <w:b/>
              <w:sz w:val="16"/>
              <w:szCs w:val="16"/>
            </w:rPr>
            <w:t xml:space="preserve">Programul Regional Sud-Vest </w:t>
          </w:r>
          <w:r w:rsidR="00652705" w:rsidRPr="00675AE2">
            <w:rPr>
              <w:rFonts w:asciiTheme="minorHAnsi" w:hAnsiTheme="minorHAnsi" w:cstheme="minorHAnsi"/>
              <w:b/>
              <w:sz w:val="16"/>
              <w:szCs w:val="16"/>
            </w:rPr>
            <w:t xml:space="preserve">Oltenia </w:t>
          </w:r>
          <w:r w:rsidRPr="00675AE2">
            <w:rPr>
              <w:rFonts w:asciiTheme="minorHAnsi" w:hAnsiTheme="minorHAnsi" w:cstheme="minorHAnsi"/>
              <w:b/>
              <w:sz w:val="16"/>
              <w:szCs w:val="16"/>
            </w:rPr>
            <w:t>2021-2027</w:t>
          </w:r>
        </w:p>
        <w:p w14:paraId="6393FF92" w14:textId="60E5F517" w:rsidR="00A30822" w:rsidRPr="00675AE2" w:rsidRDefault="00A30822" w:rsidP="00B76126">
          <w:pPr>
            <w:pStyle w:val="5Normal"/>
            <w:spacing w:before="40" w:after="40"/>
            <w:rPr>
              <w:rFonts w:asciiTheme="minorHAnsi" w:hAnsiTheme="minorHAnsi" w:cstheme="minorHAnsi"/>
              <w:b/>
              <w:sz w:val="16"/>
              <w:szCs w:val="16"/>
            </w:rPr>
          </w:pPr>
          <w:r w:rsidRPr="00675AE2">
            <w:rPr>
              <w:rFonts w:asciiTheme="minorHAnsi" w:hAnsiTheme="minorHAnsi" w:cstheme="minorHAnsi"/>
              <w:b/>
              <w:sz w:val="16"/>
              <w:szCs w:val="16"/>
            </w:rPr>
            <w:t xml:space="preserve">Prioritatea </w:t>
          </w:r>
          <w:r w:rsidR="00B76126">
            <w:rPr>
              <w:rFonts w:asciiTheme="minorHAnsi" w:hAnsiTheme="minorHAnsi" w:cstheme="minorHAnsi"/>
              <w:b/>
              <w:sz w:val="16"/>
              <w:szCs w:val="16"/>
            </w:rPr>
            <w:t>1</w:t>
          </w:r>
          <w:r w:rsidRPr="00675AE2">
            <w:rPr>
              <w:rFonts w:asciiTheme="minorHAnsi" w:hAnsiTheme="minorHAnsi" w:cstheme="minorHAnsi"/>
              <w:b/>
              <w:sz w:val="16"/>
              <w:szCs w:val="16"/>
            </w:rPr>
            <w:t xml:space="preserve">: </w:t>
          </w:r>
          <w:r w:rsidR="00B76126" w:rsidRPr="00B76126">
            <w:rPr>
              <w:rFonts w:asciiTheme="minorHAnsi" w:hAnsiTheme="minorHAnsi" w:cstheme="minorHAnsi"/>
              <w:b/>
              <w:sz w:val="16"/>
              <w:szCs w:val="16"/>
            </w:rPr>
            <w:t>Competitivitate prin inovare și întreprinderi dinamice</w:t>
          </w:r>
        </w:p>
        <w:p w14:paraId="140F31D9" w14:textId="6820229D" w:rsidR="00B76126" w:rsidRPr="00B76126" w:rsidRDefault="00B76126" w:rsidP="00B76126">
          <w:pPr>
            <w:pStyle w:val="5Normal"/>
            <w:tabs>
              <w:tab w:val="clear" w:pos="1134"/>
            </w:tabs>
            <w:spacing w:before="40" w:after="40"/>
            <w:ind w:left="1330" w:hanging="1330"/>
            <w:rPr>
              <w:rFonts w:asciiTheme="minorHAnsi" w:hAnsiTheme="minorHAnsi" w:cstheme="minorHAnsi"/>
              <w:b/>
              <w:sz w:val="16"/>
              <w:szCs w:val="16"/>
            </w:rPr>
          </w:pPr>
          <w:r>
            <w:rPr>
              <w:rFonts w:asciiTheme="minorHAnsi" w:hAnsiTheme="minorHAnsi" w:cstheme="minorHAnsi"/>
              <w:b/>
              <w:sz w:val="16"/>
              <w:szCs w:val="16"/>
            </w:rPr>
            <w:t xml:space="preserve">Obiective specifice: </w:t>
          </w:r>
          <w:r w:rsidRPr="00B76126">
            <w:rPr>
              <w:rFonts w:asciiTheme="minorHAnsi" w:hAnsiTheme="minorHAnsi" w:cstheme="minorHAnsi"/>
              <w:b/>
              <w:sz w:val="16"/>
              <w:szCs w:val="16"/>
            </w:rPr>
            <w:t>RSO1.3. Intensificarea creșterii sustenabile și creșterea competitivității IMM-urilor și crearea de locuri de muncă în cadrul IMM-urilor, inclusiv prin investiții productive (FEDR)</w:t>
          </w:r>
        </w:p>
        <w:p w14:paraId="0C9F2527" w14:textId="25F80157" w:rsidR="001B7380" w:rsidRPr="00675AE2" w:rsidRDefault="00B76126" w:rsidP="00B76126">
          <w:pPr>
            <w:pStyle w:val="5Normal"/>
            <w:tabs>
              <w:tab w:val="clear" w:pos="1134"/>
              <w:tab w:val="left" w:pos="1344"/>
            </w:tabs>
            <w:spacing w:before="40" w:after="40"/>
            <w:ind w:left="1246" w:firstLine="70"/>
            <w:rPr>
              <w:rFonts w:asciiTheme="minorHAnsi" w:hAnsiTheme="minorHAnsi" w:cstheme="minorHAnsi"/>
              <w:b/>
              <w:sz w:val="16"/>
              <w:szCs w:val="16"/>
            </w:rPr>
          </w:pPr>
          <w:r w:rsidRPr="00B76126">
            <w:rPr>
              <w:rFonts w:asciiTheme="minorHAnsi" w:hAnsiTheme="minorHAnsi" w:cstheme="minorHAnsi"/>
              <w:b/>
              <w:sz w:val="16"/>
              <w:szCs w:val="16"/>
            </w:rPr>
            <w:t>RSO1.4. Dezvoltarea competențelor pentru specializare inteligentă, tranziție industrială și antreprenoriat (FEDR)</w:t>
          </w:r>
        </w:p>
      </w:tc>
      <w:tc>
        <w:tcPr>
          <w:tcW w:w="1156" w:type="dxa"/>
          <w:tcBorders>
            <w:bottom w:val="single" w:sz="4" w:space="0" w:color="333333"/>
          </w:tcBorders>
        </w:tcPr>
        <w:p w14:paraId="5060FE97" w14:textId="77777777" w:rsidR="001B7380" w:rsidRPr="00675AE2" w:rsidRDefault="001B7380" w:rsidP="001B7380">
          <w:pPr>
            <w:tabs>
              <w:tab w:val="center" w:pos="4536"/>
              <w:tab w:val="right" w:pos="9072"/>
            </w:tabs>
            <w:spacing w:after="0"/>
            <w:jc w:val="center"/>
            <w:rPr>
              <w:rFonts w:asciiTheme="minorHAnsi" w:hAnsiTheme="minorHAnsi" w:cstheme="minorHAnsi"/>
              <w:sz w:val="16"/>
              <w:szCs w:val="16"/>
            </w:rPr>
          </w:pPr>
        </w:p>
      </w:tc>
    </w:tr>
    <w:tr w:rsidR="001B7380" w:rsidRPr="00675AE2" w14:paraId="7B323817" w14:textId="77777777" w:rsidTr="00B76126">
      <w:trPr>
        <w:cantSplit/>
      </w:trPr>
      <w:tc>
        <w:tcPr>
          <w:tcW w:w="10357" w:type="dxa"/>
          <w:gridSpan w:val="2"/>
          <w:tcBorders>
            <w:top w:val="nil"/>
            <w:bottom w:val="nil"/>
          </w:tcBorders>
        </w:tcPr>
        <w:p w14:paraId="77C27C94" w14:textId="77777777" w:rsidR="001B7380" w:rsidRPr="00675AE2" w:rsidRDefault="001B7380" w:rsidP="001B7380">
          <w:pPr>
            <w:tabs>
              <w:tab w:val="center" w:pos="4536"/>
              <w:tab w:val="right" w:pos="9072"/>
            </w:tabs>
            <w:spacing w:after="0"/>
            <w:rPr>
              <w:rFonts w:asciiTheme="minorHAnsi" w:hAnsiTheme="minorHAnsi" w:cstheme="minorHAnsi"/>
              <w:b/>
              <w:bCs/>
              <w:sz w:val="16"/>
              <w:szCs w:val="16"/>
            </w:rPr>
          </w:pPr>
        </w:p>
      </w:tc>
    </w:tr>
  </w:tbl>
  <w:p w14:paraId="509ED426" w14:textId="7E0E8F8B" w:rsidR="001B7380" w:rsidRPr="00675AE2" w:rsidRDefault="001B7380" w:rsidP="00675AE2">
    <w:pPr>
      <w:pStyle w:val="5Normal"/>
      <w:spacing w:after="0"/>
      <w:jc w:val="right"/>
      <w:rPr>
        <w:rFonts w:asciiTheme="minorHAnsi" w:hAnsiTheme="minorHAnsi" w:cstheme="minorHAnsi"/>
        <w:b/>
        <w:sz w:val="16"/>
        <w:szCs w:val="16"/>
        <w:lang w:val="pt-BR"/>
      </w:rPr>
    </w:pPr>
    <w:r w:rsidRPr="00675AE2">
      <w:rPr>
        <w:rFonts w:asciiTheme="minorHAnsi" w:hAnsiTheme="minorHAnsi" w:cstheme="minorHAnsi"/>
        <w:sz w:val="16"/>
        <w:szCs w:val="16"/>
      </w:rPr>
      <w:t xml:space="preserve">                                                                                </w:t>
    </w:r>
    <w:r w:rsidRPr="00675AE2">
      <w:rPr>
        <w:rFonts w:asciiTheme="minorHAnsi" w:hAnsiTheme="minorHAnsi" w:cstheme="minorHAnsi"/>
        <w:b/>
        <w:sz w:val="16"/>
        <w:szCs w:val="16"/>
      </w:rPr>
      <w:t xml:space="preserve">Ghidul Solicitantului - Apel de proiecte nr. </w:t>
    </w:r>
    <w:r w:rsidR="002F1965" w:rsidRPr="002F1965">
      <w:rPr>
        <w:rFonts w:asciiTheme="minorHAnsi" w:hAnsiTheme="minorHAnsi" w:cstheme="minorHAnsi"/>
        <w:b/>
        <w:sz w:val="16"/>
        <w:szCs w:val="16"/>
        <w:lang w:val="pt-BR"/>
      </w:rPr>
      <w:t>PR SV/MICRO1/1/1.3-1.4/2023</w:t>
    </w:r>
    <w:r w:rsidRPr="00675AE2">
      <w:rPr>
        <w:rFonts w:asciiTheme="minorHAnsi" w:hAnsiTheme="minorHAnsi" w:cstheme="minorHAnsi"/>
        <w:b/>
        <w:sz w:val="16"/>
        <w:szCs w:val="16"/>
        <w:lang w:val="pt-BR"/>
      </w:rPr>
      <w:t>– Anexa I</w:t>
    </w:r>
  </w:p>
  <w:p w14:paraId="783D9124" w14:textId="77777777" w:rsidR="007D26DE" w:rsidRPr="00675AE2" w:rsidRDefault="007D26DE" w:rsidP="001B7380">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FD17" w14:textId="77777777" w:rsidR="00FF14FE" w:rsidRDefault="00FF1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09F132E"/>
    <w:multiLevelType w:val="hybridMultilevel"/>
    <w:tmpl w:val="D91CA95C"/>
    <w:lvl w:ilvl="0" w:tplc="07023E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093162">
    <w:abstractNumId w:val="0"/>
  </w:num>
  <w:num w:numId="2" w16cid:durableId="490102804">
    <w:abstractNumId w:val="0"/>
  </w:num>
  <w:num w:numId="3" w16cid:durableId="2121951332">
    <w:abstractNumId w:val="0"/>
  </w:num>
  <w:num w:numId="4" w16cid:durableId="187164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5C"/>
    <w:rsid w:val="00026AC2"/>
    <w:rsid w:val="0005276E"/>
    <w:rsid w:val="00053FB7"/>
    <w:rsid w:val="00066CEF"/>
    <w:rsid w:val="00084BCD"/>
    <w:rsid w:val="00093968"/>
    <w:rsid w:val="000D566C"/>
    <w:rsid w:val="00123F22"/>
    <w:rsid w:val="0012472B"/>
    <w:rsid w:val="001273BF"/>
    <w:rsid w:val="00135993"/>
    <w:rsid w:val="00144F90"/>
    <w:rsid w:val="001571E5"/>
    <w:rsid w:val="001761AB"/>
    <w:rsid w:val="001A479E"/>
    <w:rsid w:val="001B7380"/>
    <w:rsid w:val="001C5F23"/>
    <w:rsid w:val="001F11BF"/>
    <w:rsid w:val="001F7F69"/>
    <w:rsid w:val="00205FD3"/>
    <w:rsid w:val="0021163E"/>
    <w:rsid w:val="002122AF"/>
    <w:rsid w:val="00251AFE"/>
    <w:rsid w:val="00260983"/>
    <w:rsid w:val="00261C50"/>
    <w:rsid w:val="002703FB"/>
    <w:rsid w:val="002A15A4"/>
    <w:rsid w:val="002E04B9"/>
    <w:rsid w:val="002E478A"/>
    <w:rsid w:val="002E55DF"/>
    <w:rsid w:val="002F07D1"/>
    <w:rsid w:val="002F1965"/>
    <w:rsid w:val="002F4DC8"/>
    <w:rsid w:val="00304E90"/>
    <w:rsid w:val="0032269B"/>
    <w:rsid w:val="00325CB6"/>
    <w:rsid w:val="00352FC4"/>
    <w:rsid w:val="00355EA8"/>
    <w:rsid w:val="003637EF"/>
    <w:rsid w:val="003C2748"/>
    <w:rsid w:val="0041482D"/>
    <w:rsid w:val="004150D6"/>
    <w:rsid w:val="00422194"/>
    <w:rsid w:val="00434426"/>
    <w:rsid w:val="004361CB"/>
    <w:rsid w:val="00453EFA"/>
    <w:rsid w:val="00461F4C"/>
    <w:rsid w:val="0048158E"/>
    <w:rsid w:val="004A2BAF"/>
    <w:rsid w:val="00501ADF"/>
    <w:rsid w:val="00546C2E"/>
    <w:rsid w:val="00564D99"/>
    <w:rsid w:val="00574027"/>
    <w:rsid w:val="00585778"/>
    <w:rsid w:val="00594BD2"/>
    <w:rsid w:val="005970DE"/>
    <w:rsid w:val="00597D51"/>
    <w:rsid w:val="005E3349"/>
    <w:rsid w:val="005F45E8"/>
    <w:rsid w:val="005F5AB4"/>
    <w:rsid w:val="00602B28"/>
    <w:rsid w:val="0061695A"/>
    <w:rsid w:val="00623B42"/>
    <w:rsid w:val="00625C85"/>
    <w:rsid w:val="00652705"/>
    <w:rsid w:val="00652D21"/>
    <w:rsid w:val="00675AE2"/>
    <w:rsid w:val="0068121C"/>
    <w:rsid w:val="00693376"/>
    <w:rsid w:val="006B3552"/>
    <w:rsid w:val="006D4AAD"/>
    <w:rsid w:val="00705074"/>
    <w:rsid w:val="0073742C"/>
    <w:rsid w:val="007429DD"/>
    <w:rsid w:val="00755A69"/>
    <w:rsid w:val="00755BE2"/>
    <w:rsid w:val="00760BD7"/>
    <w:rsid w:val="00762DED"/>
    <w:rsid w:val="00793B1D"/>
    <w:rsid w:val="00794623"/>
    <w:rsid w:val="007A11E4"/>
    <w:rsid w:val="007D26DE"/>
    <w:rsid w:val="007D6C8F"/>
    <w:rsid w:val="00820BFD"/>
    <w:rsid w:val="0086073D"/>
    <w:rsid w:val="00880E9E"/>
    <w:rsid w:val="00884E53"/>
    <w:rsid w:val="00895C69"/>
    <w:rsid w:val="008A0002"/>
    <w:rsid w:val="008D605C"/>
    <w:rsid w:val="008F7578"/>
    <w:rsid w:val="00904759"/>
    <w:rsid w:val="00935124"/>
    <w:rsid w:val="00947BB2"/>
    <w:rsid w:val="009636D6"/>
    <w:rsid w:val="0098374F"/>
    <w:rsid w:val="0098638A"/>
    <w:rsid w:val="009968EF"/>
    <w:rsid w:val="009C35EC"/>
    <w:rsid w:val="009D075C"/>
    <w:rsid w:val="009D4F21"/>
    <w:rsid w:val="00A06F23"/>
    <w:rsid w:val="00A14612"/>
    <w:rsid w:val="00A20427"/>
    <w:rsid w:val="00A20E7D"/>
    <w:rsid w:val="00A30822"/>
    <w:rsid w:val="00A40645"/>
    <w:rsid w:val="00A535A7"/>
    <w:rsid w:val="00A76BD0"/>
    <w:rsid w:val="00AC0CCB"/>
    <w:rsid w:val="00AC3EFD"/>
    <w:rsid w:val="00AD4427"/>
    <w:rsid w:val="00AF653D"/>
    <w:rsid w:val="00B42CB8"/>
    <w:rsid w:val="00B515B3"/>
    <w:rsid w:val="00B625CC"/>
    <w:rsid w:val="00B73681"/>
    <w:rsid w:val="00B76126"/>
    <w:rsid w:val="00B94947"/>
    <w:rsid w:val="00BA06AD"/>
    <w:rsid w:val="00BA75F3"/>
    <w:rsid w:val="00BE06E3"/>
    <w:rsid w:val="00BE094C"/>
    <w:rsid w:val="00C04166"/>
    <w:rsid w:val="00C210F2"/>
    <w:rsid w:val="00C41184"/>
    <w:rsid w:val="00CC2C62"/>
    <w:rsid w:val="00D03B03"/>
    <w:rsid w:val="00D11C05"/>
    <w:rsid w:val="00D16F2C"/>
    <w:rsid w:val="00D20661"/>
    <w:rsid w:val="00D57997"/>
    <w:rsid w:val="00D843D8"/>
    <w:rsid w:val="00D87A5D"/>
    <w:rsid w:val="00D9159A"/>
    <w:rsid w:val="00D92EFB"/>
    <w:rsid w:val="00D93EDC"/>
    <w:rsid w:val="00DA78CD"/>
    <w:rsid w:val="00DB5F7D"/>
    <w:rsid w:val="00E00117"/>
    <w:rsid w:val="00E02093"/>
    <w:rsid w:val="00E04587"/>
    <w:rsid w:val="00E06B81"/>
    <w:rsid w:val="00E10C18"/>
    <w:rsid w:val="00E22C20"/>
    <w:rsid w:val="00E564E4"/>
    <w:rsid w:val="00E92042"/>
    <w:rsid w:val="00ED19A2"/>
    <w:rsid w:val="00ED5D67"/>
    <w:rsid w:val="00ED74D5"/>
    <w:rsid w:val="00EF7774"/>
    <w:rsid w:val="00F068A2"/>
    <w:rsid w:val="00F14184"/>
    <w:rsid w:val="00F460C9"/>
    <w:rsid w:val="00F60FBD"/>
    <w:rsid w:val="00FA2787"/>
    <w:rsid w:val="00FB3831"/>
    <w:rsid w:val="00FC1128"/>
    <w:rsid w:val="00FD5EB3"/>
    <w:rsid w:val="00FF14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83C0"/>
  <w15:docId w15:val="{B232291C-A751-4AD1-B615-BA3158C3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4C"/>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3"/>
      </w:numPr>
      <w:shd w:val="clear" w:color="auto" w:fill="D9D9D9"/>
      <w:spacing w:before="240" w:after="960"/>
      <w:outlineLvl w:val="0"/>
    </w:pPr>
    <w:rPr>
      <w:rFonts w:cs="Arial"/>
      <w:b/>
      <w:bCs/>
      <w:kern w:val="32"/>
      <w:sz w:val="28"/>
      <w:szCs w:val="32"/>
    </w:rPr>
  </w:style>
  <w:style w:type="paragraph" w:styleId="Heading2">
    <w:name w:val="heading 2"/>
    <w:basedOn w:val="Normal"/>
    <w:next w:val="Normal"/>
    <w:link w:val="Heading2Char"/>
    <w:qFormat/>
    <w:rsid w:val="00461F4C"/>
    <w:pPr>
      <w:keepNext/>
      <w:numPr>
        <w:ilvl w:val="1"/>
        <w:numId w:val="3"/>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styleId="Header">
    <w:name w:val="header"/>
    <w:basedOn w:val="Normal"/>
    <w:link w:val="HeaderChar"/>
    <w:uiPriority w:val="99"/>
    <w:unhideWhenUsed/>
    <w:rsid w:val="007D26DE"/>
    <w:pPr>
      <w:tabs>
        <w:tab w:val="center" w:pos="4536"/>
        <w:tab w:val="right" w:pos="9072"/>
      </w:tabs>
      <w:spacing w:before="0" w:after="0"/>
    </w:pPr>
  </w:style>
  <w:style w:type="character" w:customStyle="1" w:styleId="HeaderChar">
    <w:name w:val="Header Char"/>
    <w:basedOn w:val="DefaultParagraphFont"/>
    <w:link w:val="Header"/>
    <w:uiPriority w:val="99"/>
    <w:rsid w:val="007D26DE"/>
    <w:rPr>
      <w:rFonts w:ascii="Trebuchet MS" w:hAnsi="Trebuchet MS"/>
      <w:szCs w:val="24"/>
      <w:lang w:eastAsia="en-US"/>
    </w:rPr>
  </w:style>
  <w:style w:type="paragraph" w:styleId="Footer">
    <w:name w:val="footer"/>
    <w:basedOn w:val="Normal"/>
    <w:link w:val="FooterChar"/>
    <w:uiPriority w:val="99"/>
    <w:unhideWhenUsed/>
    <w:rsid w:val="007D26DE"/>
    <w:pPr>
      <w:tabs>
        <w:tab w:val="center" w:pos="4536"/>
        <w:tab w:val="right" w:pos="9072"/>
      </w:tabs>
      <w:spacing w:before="0" w:after="0"/>
    </w:pPr>
  </w:style>
  <w:style w:type="character" w:customStyle="1" w:styleId="FooterChar">
    <w:name w:val="Footer Char"/>
    <w:basedOn w:val="DefaultParagraphFont"/>
    <w:link w:val="Footer"/>
    <w:uiPriority w:val="99"/>
    <w:rsid w:val="007D26DE"/>
    <w:rPr>
      <w:rFonts w:ascii="Trebuchet MS" w:hAnsi="Trebuchet MS"/>
      <w:szCs w:val="24"/>
      <w:lang w:eastAsia="en-US"/>
    </w:rPr>
  </w:style>
  <w:style w:type="paragraph" w:styleId="BalloonText">
    <w:name w:val="Balloon Text"/>
    <w:basedOn w:val="Normal"/>
    <w:link w:val="BalloonTextChar"/>
    <w:uiPriority w:val="99"/>
    <w:semiHidden/>
    <w:unhideWhenUsed/>
    <w:rsid w:val="00053FB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B7"/>
    <w:rPr>
      <w:rFonts w:ascii="Tahoma" w:hAnsi="Tahoma" w:cs="Tahoma"/>
      <w:sz w:val="16"/>
      <w:szCs w:val="16"/>
      <w:lang w:eastAsia="en-US"/>
    </w:rPr>
  </w:style>
  <w:style w:type="character" w:customStyle="1" w:styleId="5NormalChar">
    <w:name w:val="5 Normal Char"/>
    <w:link w:val="5Normal"/>
    <w:locked/>
    <w:rsid w:val="001B7380"/>
    <w:rPr>
      <w:rFonts w:ascii="Verdana" w:hAnsi="Verdana"/>
      <w:spacing w:val="-2"/>
      <w:szCs w:val="24"/>
    </w:rPr>
  </w:style>
  <w:style w:type="paragraph" w:customStyle="1" w:styleId="5Normal">
    <w:name w:val="5 Normal"/>
    <w:basedOn w:val="Normal"/>
    <w:link w:val="5NormalChar"/>
    <w:qFormat/>
    <w:rsid w:val="001B738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lang w:eastAsia="ro-RO"/>
    </w:rPr>
  </w:style>
  <w:style w:type="character" w:styleId="CommentReference">
    <w:name w:val="annotation reference"/>
    <w:basedOn w:val="DefaultParagraphFont"/>
    <w:uiPriority w:val="99"/>
    <w:semiHidden/>
    <w:unhideWhenUsed/>
    <w:rsid w:val="00B94947"/>
    <w:rPr>
      <w:sz w:val="16"/>
      <w:szCs w:val="16"/>
    </w:rPr>
  </w:style>
  <w:style w:type="paragraph" w:styleId="CommentText">
    <w:name w:val="annotation text"/>
    <w:basedOn w:val="Normal"/>
    <w:link w:val="CommentTextChar"/>
    <w:uiPriority w:val="99"/>
    <w:semiHidden/>
    <w:unhideWhenUsed/>
    <w:rsid w:val="00B94947"/>
    <w:rPr>
      <w:szCs w:val="20"/>
    </w:rPr>
  </w:style>
  <w:style w:type="character" w:customStyle="1" w:styleId="CommentTextChar">
    <w:name w:val="Comment Text Char"/>
    <w:basedOn w:val="DefaultParagraphFont"/>
    <w:link w:val="CommentText"/>
    <w:uiPriority w:val="99"/>
    <w:semiHidden/>
    <w:rsid w:val="00B94947"/>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B94947"/>
    <w:rPr>
      <w:b/>
      <w:bCs/>
    </w:rPr>
  </w:style>
  <w:style w:type="character" w:customStyle="1" w:styleId="CommentSubjectChar">
    <w:name w:val="Comment Subject Char"/>
    <w:basedOn w:val="CommentTextChar"/>
    <w:link w:val="CommentSubject"/>
    <w:uiPriority w:val="99"/>
    <w:semiHidden/>
    <w:rsid w:val="00B94947"/>
    <w:rPr>
      <w:rFonts w:ascii="Trebuchet MS" w:hAnsi="Trebuchet MS"/>
      <w:b/>
      <w:bCs/>
      <w:lang w:eastAsia="en-US"/>
    </w:rPr>
  </w:style>
  <w:style w:type="paragraph" w:customStyle="1" w:styleId="qowt-stl-normal">
    <w:name w:val="qowt-stl-normal"/>
    <w:basedOn w:val="Normal"/>
    <w:rsid w:val="00E04587"/>
    <w:pPr>
      <w:spacing w:before="100" w:beforeAutospacing="1" w:after="100" w:afterAutospacing="1"/>
    </w:pPr>
    <w:rPr>
      <w:rFonts w:ascii="Times New Roman" w:hAnsi="Times New Roman"/>
      <w:sz w:val="24"/>
      <w:lang w:val="en-US"/>
    </w:rPr>
  </w:style>
  <w:style w:type="paragraph" w:customStyle="1" w:styleId="Default">
    <w:name w:val="Default"/>
    <w:rsid w:val="00A20E7D"/>
    <w:pPr>
      <w:autoSpaceDE w:val="0"/>
      <w:autoSpaceDN w:val="0"/>
      <w:adjustRightInd w:val="0"/>
    </w:pPr>
    <w:rPr>
      <w:rFonts w:eastAsia="Calibri"/>
      <w:color w:val="000000"/>
      <w:sz w:val="24"/>
      <w:szCs w:val="24"/>
      <w:lang w:eastAsia="en-US"/>
    </w:rPr>
  </w:style>
  <w:style w:type="character" w:styleId="Hyperlink">
    <w:name w:val="Hyperlink"/>
    <w:basedOn w:val="DefaultParagraphFont"/>
    <w:uiPriority w:val="99"/>
    <w:semiHidden/>
    <w:unhideWhenUsed/>
    <w:rsid w:val="00D93EDC"/>
    <w:rPr>
      <w:color w:val="0000FF"/>
      <w:u w:val="single"/>
    </w:rPr>
  </w:style>
  <w:style w:type="character" w:styleId="PlaceholderText">
    <w:name w:val="Placeholder Text"/>
    <w:basedOn w:val="DefaultParagraphFont"/>
    <w:uiPriority w:val="99"/>
    <w:semiHidden/>
    <w:rsid w:val="002703FB"/>
    <w:rPr>
      <w:color w:val="808080"/>
    </w:rPr>
  </w:style>
  <w:style w:type="character" w:customStyle="1" w:styleId="slitbdy">
    <w:name w:val="s_lit_bdy"/>
    <w:basedOn w:val="DefaultParagraphFont"/>
    <w:rsid w:val="0090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5545">
      <w:bodyDiv w:val="1"/>
      <w:marLeft w:val="0"/>
      <w:marRight w:val="0"/>
      <w:marTop w:val="0"/>
      <w:marBottom w:val="0"/>
      <w:divBdr>
        <w:top w:val="none" w:sz="0" w:space="0" w:color="auto"/>
        <w:left w:val="none" w:sz="0" w:space="0" w:color="auto"/>
        <w:bottom w:val="none" w:sz="0" w:space="0" w:color="auto"/>
        <w:right w:val="none" w:sz="0" w:space="0" w:color="auto"/>
      </w:divBdr>
    </w:div>
    <w:div w:id="189106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Dol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ikipedia.org/wiki/V%C3%A2lce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O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wikipedia.org/wiki/Mehedin%C8%9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wikipedia.org/wiki/Gorj"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01AB-2AA9-4AB9-9B65-67B94906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Mihaela Tascu</cp:lastModifiedBy>
  <cp:revision>9</cp:revision>
  <cp:lastPrinted>2016-05-25T08:35:00Z</cp:lastPrinted>
  <dcterms:created xsi:type="dcterms:W3CDTF">2023-02-12T16:30:00Z</dcterms:created>
  <dcterms:modified xsi:type="dcterms:W3CDTF">2023-08-24T11:59:00Z</dcterms:modified>
</cp:coreProperties>
</file>