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2">
      <w:pPr>
        <w:spacing w:after="0" w:before="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Apel de proiecte nr. PR/NE/2026/P1/RSO1.3.1/2 - Microîntreprinderi  </w:t>
      </w:r>
    </w:p>
    <w:p w:rsidR="00000000" w:rsidDel="00000000" w:rsidP="00000000" w:rsidRDefault="00000000" w:rsidRPr="00000000" w14:paraId="00000003">
      <w:pPr>
        <w:spacing w:after="0" w:before="0" w:lineRule="auto"/>
        <w:jc w:val="right"/>
        <w:rPr>
          <w:rFonts w:ascii="Montserrat" w:cs="Montserrat" w:eastAsia="Montserrat" w:hAnsi="Montserrat"/>
          <w:b w:val="0"/>
          <w:bCs w:val="0"/>
          <w:sz w:val="22"/>
          <w:szCs w:val="22"/>
          <w:vertAlign w:val="baseline"/>
        </w:rPr>
      </w:pPr>
      <w:r w:rsidDel="00000000" w:rsidR="00000000" w:rsidRPr="00000000">
        <w:rPr>
          <w:rFonts w:ascii="Montserrat" w:cs="Montserrat" w:eastAsia="Montserrat" w:hAnsi="Montserrat"/>
          <w:b w:val="1"/>
          <w:bCs w:val="1"/>
          <w:sz w:val="22"/>
          <w:szCs w:val="22"/>
          <w:vertAlign w:val="baseline"/>
          <w:rtl w:val="0"/>
        </w:rPr>
        <w:t xml:space="preserve">Anexa 14  </w:t>
      </w:r>
      <w:r w:rsidDel="00000000" w:rsidR="00000000" w:rsidRPr="00000000">
        <w:rPr>
          <w:rtl w:val="0"/>
        </w:rPr>
      </w:r>
    </w:p>
    <w:p w:rsidR="00000000" w:rsidDel="00000000" w:rsidP="00000000" w:rsidRDefault="00000000" w:rsidRPr="00000000" w14:paraId="00000004">
      <w:pPr>
        <w:spacing w:after="0" w:before="0" w:lineRule="auto"/>
        <w:jc w:val="both"/>
        <w:rPr>
          <w:rFonts w:ascii="Montserrat" w:cs="Montserrat" w:eastAsia="Montserrat" w:hAnsi="Montserrat"/>
          <w:b w:val="0"/>
          <w:bCs w:val="0"/>
          <w:sz w:val="22"/>
          <w:szCs w:val="22"/>
          <w:vertAlign w:val="baseline"/>
        </w:rPr>
      </w:pPr>
      <w:r w:rsidDel="00000000" w:rsidR="00000000" w:rsidRPr="00000000">
        <w:rPr>
          <w:rtl w:val="0"/>
        </w:rPr>
      </w:r>
    </w:p>
    <w:p w:rsidR="00000000" w:rsidDel="00000000" w:rsidP="00000000" w:rsidRDefault="00000000" w:rsidRPr="00000000" w14:paraId="00000005">
      <w:pPr>
        <w:spacing w:after="0" w:before="0" w:lineRule="auto"/>
        <w:jc w:val="both"/>
        <w:rPr>
          <w:rFonts w:ascii="Montserrat" w:cs="Montserrat" w:eastAsia="Montserrat" w:hAnsi="Montserrat"/>
          <w:b w:val="0"/>
          <w:bCs w:val="0"/>
          <w:sz w:val="22"/>
          <w:szCs w:val="22"/>
          <w:vertAlign w:val="baseline"/>
        </w:rPr>
      </w:pPr>
      <w:r w:rsidDel="00000000" w:rsidR="00000000" w:rsidRPr="00000000">
        <w:rPr>
          <w:rtl w:val="0"/>
        </w:rPr>
      </w:r>
    </w:p>
    <w:p w:rsidR="00000000" w:rsidDel="00000000" w:rsidP="00000000" w:rsidRDefault="00000000" w:rsidRPr="00000000" w14:paraId="00000006">
      <w:pPr>
        <w:spacing w:after="0" w:before="0" w:lineRule="auto"/>
        <w:jc w:val="center"/>
        <w:rPr>
          <w:rFonts w:ascii="Montserrat" w:cs="Montserrat" w:eastAsia="Montserrat" w:hAnsi="Montserrat"/>
          <w:b w:val="0"/>
          <w:bCs w:val="0"/>
          <w:sz w:val="22"/>
          <w:szCs w:val="22"/>
          <w:vertAlign w:val="baseline"/>
        </w:rPr>
      </w:pPr>
      <w:r w:rsidDel="00000000" w:rsidR="00000000" w:rsidRPr="00000000">
        <w:rPr>
          <w:rFonts w:ascii="Montserrat" w:cs="Montserrat" w:eastAsia="Montserrat" w:hAnsi="Montserrat"/>
          <w:b w:val="1"/>
          <w:bCs w:val="1"/>
          <w:sz w:val="22"/>
          <w:szCs w:val="22"/>
          <w:vertAlign w:val="baseline"/>
          <w:rtl w:val="0"/>
        </w:rPr>
        <w:t xml:space="preserve">Reguli privind ajutoarele de minimis</w:t>
      </w:r>
      <w:r w:rsidDel="00000000" w:rsidR="00000000" w:rsidRPr="00000000">
        <w:rPr>
          <w:rtl w:val="0"/>
        </w:rPr>
      </w:r>
    </w:p>
    <w:p w:rsidR="00000000" w:rsidDel="00000000" w:rsidP="00000000" w:rsidRDefault="00000000" w:rsidRPr="00000000" w14:paraId="00000007">
      <w:pPr>
        <w:spacing w:after="0" w:before="0" w:lineRule="auto"/>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8">
      <w:pPr>
        <w:spacing w:after="0" w:before="0" w:lineRule="auto"/>
        <w:jc w:val="center"/>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9">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0A">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1) </w:t>
      </w:r>
      <w:r w:rsidDel="00000000" w:rsidR="00000000" w:rsidRPr="00000000">
        <w:rPr>
          <w:rFonts w:ascii="Montserrat" w:cs="Montserrat" w:eastAsia="Montserrat" w:hAnsi="Montserrat"/>
          <w:sz w:val="22"/>
          <w:szCs w:val="22"/>
          <w:vertAlign w:val="baseline"/>
          <w:rtl w:val="0"/>
        </w:rPr>
        <w:t xml:space="preserve">Valoarea finanțării nerambursabile solicitate pentru un proiect este de minimum </w:t>
      </w:r>
      <w:r w:rsidDel="00000000" w:rsidR="00000000" w:rsidRPr="00000000">
        <w:rPr>
          <w:rFonts w:ascii="Montserrat" w:cs="Montserrat" w:eastAsia="Montserrat" w:hAnsi="Montserrat"/>
          <w:sz w:val="22"/>
          <w:szCs w:val="22"/>
          <w:rtl w:val="0"/>
        </w:rPr>
        <w:t xml:space="preserve">10</w:t>
      </w:r>
      <w:r w:rsidDel="00000000" w:rsidR="00000000" w:rsidRPr="00000000">
        <w:rPr>
          <w:rFonts w:ascii="Montserrat" w:cs="Montserrat" w:eastAsia="Montserrat" w:hAnsi="Montserrat"/>
          <w:sz w:val="22"/>
          <w:szCs w:val="22"/>
          <w:vertAlign w:val="baseline"/>
          <w:rtl w:val="0"/>
        </w:rPr>
        <w:t xml:space="preserve">0.000 EUR și maximum 300.000 EUR, echivalent în lei la cursul de schimb InforEuro din luna publicării Ghidului solicitantului, cu respectarea regulii de cumul la nivel de </w:t>
      </w:r>
      <w:r w:rsidDel="00000000" w:rsidR="00000000" w:rsidRPr="00000000">
        <w:rPr>
          <w:rFonts w:ascii="Montserrat" w:cs="Montserrat" w:eastAsia="Montserrat" w:hAnsi="Montserrat"/>
          <w:sz w:val="22"/>
          <w:szCs w:val="22"/>
          <w:rtl w:val="0"/>
        </w:rPr>
        <w:t xml:space="preserve">î</w:t>
      </w:r>
      <w:r w:rsidDel="00000000" w:rsidR="00000000" w:rsidRPr="00000000">
        <w:rPr>
          <w:rFonts w:ascii="Montserrat" w:cs="Montserrat" w:eastAsia="Montserrat" w:hAnsi="Montserrat"/>
          <w:sz w:val="22"/>
          <w:szCs w:val="22"/>
          <w:vertAlign w:val="baseline"/>
          <w:rtl w:val="0"/>
        </w:rPr>
        <w:t xml:space="preserve">ntreprindere unică</w:t>
      </w:r>
      <w:r w:rsidDel="00000000" w:rsidR="00000000" w:rsidRPr="00000000">
        <w:rPr>
          <w:rFonts w:ascii="Montserrat" w:cs="Montserrat" w:eastAsia="Montserrat" w:hAnsi="Montserrat"/>
          <w:sz w:val="22"/>
          <w:szCs w:val="22"/>
          <w:rtl w:val="0"/>
        </w:rPr>
        <w:t xml:space="preserve">.</w:t>
      </w:r>
      <w:r w:rsidDel="00000000" w:rsidR="00000000" w:rsidRPr="00000000">
        <w:rPr>
          <w:rtl w:val="0"/>
        </w:rPr>
      </w:r>
    </w:p>
    <w:p w:rsidR="00000000" w:rsidDel="00000000" w:rsidP="00000000" w:rsidRDefault="00000000" w:rsidRPr="00000000" w14:paraId="0000000B">
      <w:pPr>
        <w:spacing w:after="0" w:before="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C">
      <w:pPr>
        <w:spacing w:after="0" w:before="0" w:lineRule="auto"/>
        <w:ind w:firstLine="72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2) Finanțarea nerambursabilă se acordă sub formă de ajutor de minimis, cu respectarea prevederilor Regulamentului (UE) 2023/2831 al Comisiei din 13 decembrie 2023 privind aplicarea articolelor 107 și 108 din Tratatul privind funcționarea Uniunii Europene ajutoarelor de minimis și a Dispoziției Directorului General ADR Nord-Est nr. ____/__.__.2026 pentru modificarea și completarea Dispoziției General al ADR Nord-Est nr. 197/27.09.2023, modificată și completată prin Dispoziția Directorului General nr. 64/01.03.2024 privind aprobarea, modificarea și completarea Schemei de ajutor pentru sprijinirea microîntreprinderilor. </w:t>
      </w:r>
    </w:p>
    <w:p w:rsidR="00000000" w:rsidDel="00000000" w:rsidP="00000000" w:rsidRDefault="00000000" w:rsidRPr="00000000" w14:paraId="0000000D">
      <w:pPr>
        <w:spacing w:after="0" w:before="0" w:lineRule="auto"/>
        <w:ind w:firstLine="72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0E">
      <w:pPr>
        <w:spacing w:after="0" w:before="0" w:lineRule="auto"/>
        <w:ind w:firstLine="72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3) </w:t>
      </w:r>
      <w:r w:rsidDel="00000000" w:rsidR="00000000" w:rsidRPr="00000000">
        <w:rPr>
          <w:rFonts w:ascii="Montserrat" w:cs="Montserrat" w:eastAsia="Montserrat" w:hAnsi="Montserrat"/>
          <w:sz w:val="22"/>
          <w:szCs w:val="22"/>
          <w:rtl w:val="0"/>
        </w:rPr>
        <w:t xml:space="preserve">Microîntreprinderea</w:t>
      </w:r>
      <w:r w:rsidDel="00000000" w:rsidR="00000000" w:rsidRPr="00000000">
        <w:rPr>
          <w:rFonts w:ascii="Montserrat" w:cs="Montserrat" w:eastAsia="Montserrat" w:hAnsi="Montserrat"/>
          <w:sz w:val="22"/>
          <w:szCs w:val="22"/>
          <w:rtl w:val="0"/>
        </w:rPr>
        <w:t xml:space="preserve"> – este o întreprindere care are mai puțin de 10 salariaţi şi realizează o cifră de afaceri anuală și/sau al cărei bilanţ anual total nu depășește 2 milioane EUR, echivalent în lei, în conformitate cu prevederile anexei I la Regulamentul (UE) nr. 651/2014.</w:t>
      </w:r>
    </w:p>
    <w:p w:rsidR="00000000" w:rsidDel="00000000" w:rsidP="00000000" w:rsidRDefault="00000000" w:rsidRPr="00000000" w14:paraId="0000000F">
      <w:pPr>
        <w:spacing w:after="0" w:before="0" w:lineRule="auto"/>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 </w:t>
      </w:r>
    </w:p>
    <w:p w:rsidR="00000000" w:rsidDel="00000000" w:rsidP="00000000" w:rsidRDefault="00000000" w:rsidRPr="00000000" w14:paraId="00000010">
      <w:pPr>
        <w:spacing w:after="0" w:before="0" w:lineRule="auto"/>
        <w:ind w:firstLine="72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4) Valoarea totală a ajutoarelor de minimis acordate per stat membru, unei întreprinderi unice pe o perioadă de 3 ani, cumulată cu valoarea alocării financiare acordate în conformitate cu prevederile prezentului Ghid, nu depăşeşte echivalentul în lei a 300.000 EUR.</w:t>
      </w:r>
    </w:p>
    <w:p w:rsidR="00000000" w:rsidDel="00000000" w:rsidP="00000000" w:rsidRDefault="00000000" w:rsidRPr="00000000" w14:paraId="00000011">
      <w:pPr>
        <w:spacing w:after="0" w:before="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2">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5) </w:t>
      </w:r>
      <w:r w:rsidDel="00000000" w:rsidR="00000000" w:rsidRPr="00000000">
        <w:rPr>
          <w:rFonts w:ascii="Montserrat" w:cs="Montserrat" w:eastAsia="Montserrat" w:hAnsi="Montserrat"/>
          <w:sz w:val="22"/>
          <w:szCs w:val="22"/>
          <w:vertAlign w:val="baseline"/>
          <w:rtl w:val="0"/>
        </w:rPr>
        <w:t xml:space="preserve">Întreprinderea unică -</w:t>
      </w:r>
      <w:r w:rsidDel="00000000" w:rsidR="00000000" w:rsidRPr="00000000">
        <w:rPr>
          <w:rFonts w:ascii="Montserrat" w:cs="Montserrat" w:eastAsia="Montserrat" w:hAnsi="Montserrat"/>
          <w:sz w:val="22"/>
          <w:szCs w:val="22"/>
          <w:vertAlign w:val="baseline"/>
          <w:rtl w:val="0"/>
        </w:rPr>
        <w:t xml:space="preserve"> în conformitate cu prevederile articolului 2, alineatul (2) din Regulamentul (UE) 2023/2831, înseamn</w:t>
      </w:r>
      <w:r w:rsidDel="00000000" w:rsidR="00000000" w:rsidRPr="00000000">
        <w:rPr>
          <w:rFonts w:ascii="Montserrat" w:cs="Montserrat" w:eastAsia="Montserrat" w:hAnsi="Montserrat"/>
          <w:sz w:val="22"/>
          <w:szCs w:val="22"/>
          <w:rtl w:val="0"/>
        </w:rPr>
        <w:t xml:space="preserve">ă</w:t>
      </w:r>
      <w:r w:rsidDel="00000000" w:rsidR="00000000" w:rsidRPr="00000000">
        <w:rPr>
          <w:rFonts w:ascii="Montserrat" w:cs="Montserrat" w:eastAsia="Montserrat" w:hAnsi="Montserrat"/>
          <w:sz w:val="22"/>
          <w:szCs w:val="22"/>
          <w:vertAlign w:val="baseline"/>
          <w:rtl w:val="0"/>
        </w:rPr>
        <w:t xml:space="preserve"> toate întreprinderile între care există cel puţin una dintre relaţiile următoare:</w:t>
      </w:r>
    </w:p>
    <w:p w:rsidR="00000000" w:rsidDel="00000000" w:rsidP="00000000" w:rsidRDefault="00000000" w:rsidRPr="00000000" w14:paraId="00000013">
      <w:pPr>
        <w:spacing w:after="0" w:before="0" w:lineRule="auto"/>
        <w:ind w:left="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 o întreprindere deține majoritatea drepturilor de vot ale acționarilor sau ale asociaților unei alte întreprinderi;</w:t>
      </w:r>
    </w:p>
    <w:p w:rsidR="00000000" w:rsidDel="00000000" w:rsidP="00000000" w:rsidRDefault="00000000" w:rsidRPr="00000000" w14:paraId="00000014">
      <w:pPr>
        <w:spacing w:after="0" w:before="0" w:lineRule="auto"/>
        <w:ind w:left="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(ii) o întreprindere are dreptul de a numi sau revoca majoritatea membrilor organelor de administrare, de conducere sau de supraveghere ale unei alte întreprinderi;</w:t>
      </w:r>
    </w:p>
    <w:p w:rsidR="00000000" w:rsidDel="00000000" w:rsidP="00000000" w:rsidRDefault="00000000" w:rsidRPr="00000000" w14:paraId="00000015">
      <w:pPr>
        <w:spacing w:after="0" w:before="0" w:lineRule="auto"/>
        <w:ind w:left="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(iii) o întreprindere are dreptul de a exercita o influență dominantă asupra altei întreprinderi în temeiul unui contract încheiat cu întreprinderea în cauză sau în temeiul unei prevederi din actul constitutiv sau din statutul acesteia;</w:t>
      </w:r>
    </w:p>
    <w:p w:rsidR="00000000" w:rsidDel="00000000" w:rsidP="00000000" w:rsidRDefault="00000000" w:rsidRPr="00000000" w14:paraId="00000016">
      <w:pPr>
        <w:spacing w:after="0" w:before="0" w:lineRule="auto"/>
        <w:ind w:left="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(iv)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rsidR="00000000" w:rsidDel="00000000" w:rsidP="00000000" w:rsidRDefault="00000000" w:rsidRPr="00000000" w14:paraId="00000017">
      <w:pPr>
        <w:spacing w:after="0" w:before="0" w:lineRule="auto"/>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Întreprinderile care întrețin, prin intermediul uneia sau al mai multor întreprinderi, oricare din relațiile la care se face referire la punctele (i) - (iv), sunt considerate la rândul lor întreprinderi unice.</w:t>
      </w:r>
    </w:p>
    <w:p w:rsidR="00000000" w:rsidDel="00000000" w:rsidP="00000000" w:rsidRDefault="00000000" w:rsidRPr="00000000" w14:paraId="00000018">
      <w:pPr>
        <w:spacing w:after="0" w:before="0" w:lineRule="auto"/>
        <w:ind w:left="720" w:firstLine="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9">
      <w:pPr>
        <w:spacing w:after="0" w:before="0" w:lineRule="auto"/>
        <w:ind w:left="0"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6) </w:t>
      </w:r>
      <w:r w:rsidDel="00000000" w:rsidR="00000000" w:rsidRPr="00000000">
        <w:rPr>
          <w:rFonts w:ascii="Montserrat" w:cs="Montserrat" w:eastAsia="Montserrat" w:hAnsi="Montserrat"/>
          <w:sz w:val="22"/>
          <w:szCs w:val="22"/>
          <w:vertAlign w:val="baseline"/>
          <w:rtl w:val="0"/>
        </w:rPr>
        <w:t xml:space="preserve">La identificarea întreprinderii unice, se vor avea în vedere doar întreprinderi legate înregistrate pe teritoriul aceluiași stat membru al Uniunii Europene.  </w:t>
      </w:r>
    </w:p>
    <w:p w:rsidR="00000000" w:rsidDel="00000000" w:rsidP="00000000" w:rsidRDefault="00000000" w:rsidRPr="00000000" w14:paraId="0000001A">
      <w:pPr>
        <w:spacing w:after="0" w:before="0" w:lineRule="auto"/>
        <w:ind w:left="0" w:firstLine="720"/>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1B">
      <w:pPr>
        <w:spacing w:after="0" w:before="0" w:lineRule="auto"/>
        <w:ind w:left="0" w:firstLine="720"/>
        <w:jc w:val="both"/>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7) La încadrarea solicitantului în categoria microîntreprinderilor se vor avea în vedere prevederile din Secțiunea  ”Eligibilitatea solicitanților și partenerilor” din Ghid.</w:t>
      </w:r>
    </w:p>
    <w:p w:rsidR="00000000" w:rsidDel="00000000" w:rsidP="00000000" w:rsidRDefault="00000000" w:rsidRPr="00000000" w14:paraId="0000001C">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1D">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8</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Valoarea totală a ajutoarelor de minimis acordate per stat membru unei întreprinderi unice</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sz w:val="22"/>
          <w:szCs w:val="22"/>
          <w:vertAlign w:val="baseline"/>
          <w:rtl w:val="0"/>
        </w:rPr>
        <w:t xml:space="preserve">trebuie să respecte regulile de cumul:</w:t>
      </w:r>
    </w:p>
    <w:p w:rsidR="00000000" w:rsidDel="00000000" w:rsidP="00000000" w:rsidRDefault="00000000" w:rsidRPr="00000000" w14:paraId="0000001E">
      <w:pPr>
        <w:spacing w:after="0" w:before="0" w:lineRule="auto"/>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(a) Ajutoarele de minimis acordate în conformitate cu Regulamentul (UE) 2023/2831 pot fi cumulate cu ajutoare de minimis acordate în conformitate cu Regulamentul (UE) 2023/2832 al Comisiei.</w:t>
      </w:r>
    </w:p>
    <w:p w:rsidR="00000000" w:rsidDel="00000000" w:rsidP="00000000" w:rsidRDefault="00000000" w:rsidRPr="00000000" w14:paraId="0000001F">
      <w:pPr>
        <w:spacing w:after="0" w:before="0" w:lineRule="auto"/>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r w:rsidDel="00000000" w:rsidR="00000000" w:rsidRPr="00000000">
        <w:rPr>
          <w:rFonts w:ascii="Montserrat" w:cs="Montserrat" w:eastAsia="Montserrat" w:hAnsi="Montserrat"/>
          <w:sz w:val="22"/>
          <w:szCs w:val="22"/>
          <w:rtl w:val="0"/>
        </w:rPr>
        <w:t xml:space="preserve">b</w:t>
      </w:r>
      <w:r w:rsidDel="00000000" w:rsidR="00000000" w:rsidRPr="00000000">
        <w:rPr>
          <w:rFonts w:ascii="Montserrat" w:cs="Montserrat" w:eastAsia="Montserrat" w:hAnsi="Montserrat"/>
          <w:sz w:val="22"/>
          <w:szCs w:val="22"/>
          <w:vertAlign w:val="baseline"/>
          <w:rtl w:val="0"/>
        </w:rPr>
        <w:t xml:space="preserve">) Ajutoarele de minimis acordate în </w:t>
      </w:r>
      <w:r w:rsidDel="00000000" w:rsidR="00000000" w:rsidRPr="00000000">
        <w:rPr>
          <w:rFonts w:ascii="Montserrat" w:cs="Montserrat" w:eastAsia="Montserrat" w:hAnsi="Montserrat"/>
          <w:sz w:val="22"/>
          <w:szCs w:val="22"/>
          <w:rtl w:val="0"/>
        </w:rPr>
        <w:t xml:space="preserve">conformitate cu Regulamentul (UE) 2023/2831</w:t>
      </w:r>
      <w:r w:rsidDel="00000000" w:rsidR="00000000" w:rsidRPr="00000000">
        <w:rPr>
          <w:rFonts w:ascii="Montserrat" w:cs="Montserrat" w:eastAsia="Montserrat" w:hAnsi="Montserrat"/>
          <w:sz w:val="22"/>
          <w:szCs w:val="22"/>
          <w:vertAlign w:val="baseline"/>
          <w:rtl w:val="0"/>
        </w:rPr>
        <w:t xml:space="preserve"> pot fi cumulate cu ajutoarele de minimis acordate în conformitate cu Regulamentele (UE) nr. 1408/2013  al Comisiei din 18 decembrie 2013 privind aplicarea articolelor 107 și 108 din Tratatul privind funcționarea Uniunii Europene ajutoarelor de minimis în sectorul agricol  și (UE) nr. 717/2014 al Comisiei din 27 iunie 2014 privind aplicarea articolelor 107 și 108 din Tratatul privind funcționarea Uniunii Europene ajutoarelor de minimis în sectorul pescuitului și acvaculturii, în limita plafonului </w:t>
      </w:r>
      <w:r w:rsidDel="00000000" w:rsidR="00000000" w:rsidRPr="00000000">
        <w:rPr>
          <w:rFonts w:ascii="Montserrat" w:cs="Montserrat" w:eastAsia="Montserrat" w:hAnsi="Montserrat"/>
          <w:sz w:val="22"/>
          <w:szCs w:val="22"/>
          <w:rtl w:val="0"/>
        </w:rPr>
        <w:t xml:space="preserve">de 300.000 EUR pe întreprindere unică</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20">
      <w:pPr>
        <w:spacing w:after="0" w:before="0" w:lineRule="auto"/>
        <w:ind w:left="0" w:firstLine="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w:t>
      </w:r>
      <w:r w:rsidDel="00000000" w:rsidR="00000000" w:rsidRPr="00000000">
        <w:rPr>
          <w:rFonts w:ascii="Montserrat" w:cs="Montserrat" w:eastAsia="Montserrat" w:hAnsi="Montserrat"/>
          <w:sz w:val="22"/>
          <w:szCs w:val="22"/>
          <w:rtl w:val="0"/>
        </w:rPr>
        <w:t xml:space="preserve">c</w:t>
      </w:r>
      <w:r w:rsidDel="00000000" w:rsidR="00000000" w:rsidRPr="00000000">
        <w:rPr>
          <w:rFonts w:ascii="Montserrat" w:cs="Montserrat" w:eastAsia="Montserrat" w:hAnsi="Montserrat"/>
          <w:sz w:val="22"/>
          <w:szCs w:val="22"/>
          <w:vertAlign w:val="baseline"/>
          <w:rtl w:val="0"/>
        </w:rPr>
        <w:t xml:space="preserve">) Ajutoarele de minimis acordate în conformitate cu </w:t>
      </w:r>
      <w:r w:rsidDel="00000000" w:rsidR="00000000" w:rsidRPr="00000000">
        <w:rPr>
          <w:rFonts w:ascii="Montserrat" w:cs="Montserrat" w:eastAsia="Montserrat" w:hAnsi="Montserrat"/>
          <w:sz w:val="22"/>
          <w:szCs w:val="22"/>
          <w:rtl w:val="0"/>
        </w:rPr>
        <w:t xml:space="preserve">Regulamentul (UE) 2023/2831 </w:t>
      </w:r>
      <w:r w:rsidDel="00000000" w:rsidR="00000000" w:rsidRPr="00000000">
        <w:rPr>
          <w:rFonts w:ascii="Montserrat" w:cs="Montserrat" w:eastAsia="Montserrat" w:hAnsi="Montserrat"/>
          <w:sz w:val="22"/>
          <w:szCs w:val="22"/>
          <w:vertAlign w:val="baseline"/>
          <w:rtl w:val="0"/>
        </w:rPr>
        <w:t xml:space="preserve">nu se cumulează cu ajutoare de stat acordate pentru aceleași costuri eligibile sau cu ajutoare de stat acordate pentru aceeași măsură de finanțare de risc dacă o astfel de cumulare ar depăși intensitatea sau valoarea maximă relevantă a ajutorului stabilită pentru condițiile specifice ale fiecărui caz de un regulament sau de o decizie de exceptare pe categorii adoptat(ă) de Comisie.</w:t>
      </w:r>
    </w:p>
    <w:p w:rsidR="00000000" w:rsidDel="00000000" w:rsidP="00000000" w:rsidRDefault="00000000" w:rsidRPr="00000000" w14:paraId="00000021">
      <w:pPr>
        <w:spacing w:after="0" w:before="0" w:lineRule="auto"/>
        <w:ind w:left="720" w:firstLine="0"/>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2">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9) Pentru a verifica respectarea plafonului de minimis, s</w:t>
      </w:r>
      <w:r w:rsidDel="00000000" w:rsidR="00000000" w:rsidRPr="00000000">
        <w:rPr>
          <w:rFonts w:ascii="Montserrat" w:cs="Montserrat" w:eastAsia="Montserrat" w:hAnsi="Montserrat"/>
          <w:sz w:val="22"/>
          <w:szCs w:val="22"/>
          <w:vertAlign w:val="baseline"/>
          <w:rtl w:val="0"/>
        </w:rPr>
        <w:t xml:space="preserve">e vor cumula ajutoarele de mini</w:t>
      </w:r>
      <w:r w:rsidDel="00000000" w:rsidR="00000000" w:rsidRPr="00000000">
        <w:rPr>
          <w:rFonts w:ascii="Montserrat" w:cs="Montserrat" w:eastAsia="Montserrat" w:hAnsi="Montserrat"/>
          <w:sz w:val="22"/>
          <w:szCs w:val="22"/>
          <w:rtl w:val="0"/>
        </w:rPr>
        <w:t xml:space="preserve">mis</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23">
      <w:pPr>
        <w:numPr>
          <w:ilvl w:val="0"/>
          <w:numId w:val="2"/>
        </w:numPr>
        <w:spacing w:after="0" w:before="0"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primite de întreprinderea solicitantă; </w:t>
      </w:r>
    </w:p>
    <w:p w:rsidR="00000000" w:rsidDel="00000000" w:rsidP="00000000" w:rsidRDefault="00000000" w:rsidRPr="00000000" w14:paraId="00000024">
      <w:pPr>
        <w:numPr>
          <w:ilvl w:val="0"/>
          <w:numId w:val="2"/>
        </w:numPr>
        <w:spacing w:after="0" w:before="0"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primite de toate celelalte întreprinderi cu care întreprinderea solicitantă formează întreprinderea unică; </w:t>
      </w:r>
    </w:p>
    <w:p w:rsidR="00000000" w:rsidDel="00000000" w:rsidP="00000000" w:rsidRDefault="00000000" w:rsidRPr="00000000" w14:paraId="00000025">
      <w:pPr>
        <w:numPr>
          <w:ilvl w:val="0"/>
          <w:numId w:val="2"/>
        </w:numPr>
        <w:spacing w:after="0" w:before="0"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dacă solicitantul este o întreprindere înființată ca urmare a fuzionării prin contopire a două sau mai multor întreprinderi, se vor cumula toate ajutoarele de minimis primite, în perioada celor 3 ani, de fiecare din întreprinderile care au fuzionat. Același principiu se aplică în cazul unei întreprinderi care a fuzionat cu alte întreprinderi, prin absorbirea acestora; </w:t>
      </w:r>
    </w:p>
    <w:p w:rsidR="00000000" w:rsidDel="00000000" w:rsidP="00000000" w:rsidRDefault="00000000" w:rsidRPr="00000000" w14:paraId="00000026">
      <w:pPr>
        <w:numPr>
          <w:ilvl w:val="0"/>
          <w:numId w:val="2"/>
        </w:numPr>
        <w:spacing w:after="0" w:before="0" w:lineRule="auto"/>
        <w:ind w:left="720" w:hanging="360"/>
        <w:jc w:val="both"/>
        <w:rPr>
          <w:rFonts w:ascii="Montserrat" w:cs="Montserrat" w:eastAsia="Montserrat" w:hAnsi="Montserrat"/>
          <w:sz w:val="22"/>
          <w:szCs w:val="22"/>
          <w:u w:val="none"/>
          <w:vertAlign w:val="baseline"/>
        </w:rPr>
      </w:pPr>
      <w:r w:rsidDel="00000000" w:rsidR="00000000" w:rsidRPr="00000000">
        <w:rPr>
          <w:rFonts w:ascii="Montserrat" w:cs="Montserrat" w:eastAsia="Montserrat" w:hAnsi="Montserrat"/>
          <w:sz w:val="22"/>
          <w:szCs w:val="22"/>
          <w:vertAlign w:val="baseline"/>
          <w:rtl w:val="0"/>
        </w:rPr>
        <w:t xml:space="preserve">în cazul divizării unei întreprinderi, ajutorul de minimis primit înainte de divizare se va aloca/atribui acelei întreprinderi care a beneficiat/ beneficiază de el, aceasta fiind, în principiu, cea care a preluat activitatea (activitățile) pentru care a fost acordat ajutorul de minimis. Dacă această alocare nu poate fi făcută, ajutorul de minimis va fi atribuit în mod proporțional în funcție de valoarea capitalurilor noilor întreprinderi, la data divizării. </w:t>
      </w:r>
    </w:p>
    <w:p w:rsidR="00000000" w:rsidDel="00000000" w:rsidP="00000000" w:rsidRDefault="00000000" w:rsidRPr="00000000" w14:paraId="00000027">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8">
      <w:pPr>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 Cumularea ajutoarelor primite în regim de minimis se face indiferent de: </w:t>
      </w:r>
    </w:p>
    <w:p w:rsidR="00000000" w:rsidDel="00000000" w:rsidP="00000000" w:rsidRDefault="00000000" w:rsidRPr="00000000" w14:paraId="00000029">
      <w:pPr>
        <w:numPr>
          <w:ilvl w:val="0"/>
          <w:numId w:val="1"/>
        </w:numPr>
        <w:spacing w:after="0" w:before="0" w:lineRule="auto"/>
        <w:ind w:left="720" w:hanging="360"/>
        <w:jc w:val="both"/>
        <w:rPr>
          <w:rFonts w:ascii="Montserrat" w:cs="Montserrat" w:eastAsia="Montserrat" w:hAnsi="Montserrat"/>
          <w:b w:val="0"/>
          <w:bCs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Sursa ajutoarelor (ex: buget de stat, buget local, fonduri europene); </w:t>
      </w:r>
      <w:r w:rsidDel="00000000" w:rsidR="00000000" w:rsidRPr="00000000">
        <w:rPr>
          <w:rtl w:val="0"/>
        </w:rPr>
      </w:r>
    </w:p>
    <w:p w:rsidR="00000000" w:rsidDel="00000000" w:rsidP="00000000" w:rsidRDefault="00000000" w:rsidRPr="00000000" w14:paraId="0000002A">
      <w:pPr>
        <w:numPr>
          <w:ilvl w:val="0"/>
          <w:numId w:val="1"/>
        </w:numPr>
        <w:spacing w:after="0" w:before="0" w:lineRule="auto"/>
        <w:ind w:left="720" w:hanging="360"/>
        <w:jc w:val="both"/>
        <w:rPr>
          <w:rFonts w:ascii="Montserrat" w:cs="Montserrat" w:eastAsia="Montserrat" w:hAnsi="Montserrat"/>
          <w:b w:val="0"/>
          <w:bCs w:val="0"/>
          <w:sz w:val="22"/>
          <w:szCs w:val="22"/>
          <w:vertAlign w:val="baseline"/>
        </w:rPr>
      </w:pPr>
      <w:r w:rsidDel="00000000" w:rsidR="00000000" w:rsidRPr="00000000">
        <w:rPr>
          <w:rFonts w:ascii="Montserrat" w:cs="Montserrat" w:eastAsia="Montserrat" w:hAnsi="Montserrat"/>
          <w:sz w:val="22"/>
          <w:szCs w:val="22"/>
          <w:vertAlign w:val="baseline"/>
          <w:rtl w:val="0"/>
        </w:rPr>
        <w:t xml:space="preserve">Forma ajutoarelor (ex: finanţare nerambursabilă, scutiri de la plata unor taxe, garanţii, facilităţi privind creditele primite, dobânzi subvenţionate, garanţii bancare). </w:t>
      </w: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Pentru respectarea regulilor de cumul, solicitantul ajutorului de minimis va prezenta  în Cererea de finanțare informaţiile referitoare la orice alt ajutor de minimis primit de acesta și de întreprinderile cu care formează, împreună, o întreprindere unică, în ultimii 3 ani, până la depunerea cererii de finantare, respectiv încheierea actului de acordare a ajutorului de minimis. Informațiile din Cererea de finanțare vor fi actualizate de către solicitantul ajutorului de minimis înainte de încheierea Contractului de finan</w:t>
      </w:r>
      <w:r w:rsidDel="00000000" w:rsidR="00000000" w:rsidRPr="00000000">
        <w:rPr>
          <w:rFonts w:ascii="Montserrat" w:cs="Montserrat" w:eastAsia="Montserrat" w:hAnsi="Montserrat"/>
          <w:sz w:val="22"/>
          <w:szCs w:val="22"/>
          <w:rtl w:val="0"/>
        </w:rPr>
        <w:t xml:space="preserve">țare</w:t>
      </w:r>
      <w:r w:rsidDel="00000000" w:rsidR="00000000" w:rsidRPr="00000000">
        <w:rPr>
          <w:rFonts w:ascii="Montserrat" w:cs="Montserrat" w:eastAsia="Montserrat" w:hAnsi="Montserrat"/>
          <w:sz w:val="22"/>
          <w:szCs w:val="22"/>
          <w:vertAlign w:val="baseline"/>
          <w:rtl w:val="0"/>
        </w:rPr>
        <w:t xml:space="preserve">.</w:t>
      </w:r>
    </w:p>
    <w:p w:rsidR="00000000" w:rsidDel="00000000" w:rsidP="00000000" w:rsidRDefault="00000000" w:rsidRPr="00000000" w14:paraId="0000002C">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2D">
      <w:pPr>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în care, după aplicarea regulilor de cumul, prin luarea în calcul și a valorii finanțării nerambursabile solicitată prin cererea de finanțare, se depășește plafonul de minimis specific (respectiv 300.000 EUR), întreprinderea poate opta, până la acordarea acestui ajutor, pentru reducerea finanțării solicitate sau pentru renunțarea, integrală sau parțială, la ajutoare anterioare deja primite pentru a nu depăși acest plafon, conform Deciziei CEJ în cauza C 608/19.</w:t>
      </w:r>
    </w:p>
    <w:p w:rsidR="00000000" w:rsidDel="00000000" w:rsidP="00000000" w:rsidRDefault="00000000" w:rsidRPr="00000000" w14:paraId="0000002E">
      <w:pPr>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Reducerea finanțării solicitate poate fi efectuată și în situația în care nu există un ajutor acordat anterior, atât în scopul încadrării în pragul maxim al finanțării stabilit prin prezentul ghid, cât și în scopul încadrării în plafonul de minimis.</w:t>
      </w:r>
    </w:p>
    <w:p w:rsidR="00000000" w:rsidDel="00000000" w:rsidP="00000000" w:rsidRDefault="00000000" w:rsidRPr="00000000" w14:paraId="0000002F">
      <w:pPr>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Cererea de finanțare va fi respinsă dacă Solicitantul nu ajustează valoarea solicitată astfel în</w:t>
      </w:r>
      <w:r w:rsidDel="00000000" w:rsidR="00000000" w:rsidRPr="00000000">
        <w:rPr>
          <w:rFonts w:ascii="Montserrat" w:cs="Montserrat" w:eastAsia="Montserrat" w:hAnsi="Montserrat"/>
          <w:sz w:val="22"/>
          <w:szCs w:val="22"/>
          <w:vertAlign w:val="baseline"/>
          <w:rtl w:val="0"/>
        </w:rPr>
        <w:t xml:space="preserve">cât să se încadreze sub pragul de minimis sau nu renunță, integral sau parțial, la ajutoare anterioare deja primite, pentru a nu depăși acest plafon.</w:t>
      </w:r>
    </w:p>
    <w:p w:rsidR="00000000" w:rsidDel="00000000" w:rsidP="00000000" w:rsidRDefault="00000000" w:rsidRPr="00000000" w14:paraId="00000030">
      <w:pPr>
        <w:spacing w:after="0" w:before="0" w:lineRule="auto"/>
        <w:jc w:val="both"/>
        <w:rPr>
          <w:rFonts w:ascii="Montserrat" w:cs="Montserrat" w:eastAsia="Montserrat" w:hAnsi="Montserrat"/>
          <w:sz w:val="22"/>
          <w:szCs w:val="22"/>
          <w:vertAlign w:val="baseline"/>
        </w:rPr>
      </w:pPr>
      <w:r w:rsidDel="00000000" w:rsidR="00000000" w:rsidRPr="00000000">
        <w:rPr>
          <w:rtl w:val="0"/>
        </w:rPr>
      </w:r>
    </w:p>
    <w:p w:rsidR="00000000" w:rsidDel="00000000" w:rsidP="00000000" w:rsidRDefault="00000000" w:rsidRPr="00000000" w14:paraId="00000031">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10) </w:t>
      </w:r>
      <w:r w:rsidDel="00000000" w:rsidR="00000000" w:rsidRPr="00000000">
        <w:rPr>
          <w:rFonts w:ascii="Montserrat" w:cs="Montserrat" w:eastAsia="Montserrat" w:hAnsi="Montserrat"/>
          <w:sz w:val="22"/>
          <w:szCs w:val="22"/>
          <w:vertAlign w:val="baseline"/>
          <w:rtl w:val="0"/>
        </w:rPr>
        <w:t xml:space="preserve">Dacă solicitan</w:t>
      </w:r>
      <w:r w:rsidDel="00000000" w:rsidR="00000000" w:rsidRPr="00000000">
        <w:rPr>
          <w:rFonts w:ascii="Montserrat" w:cs="Montserrat" w:eastAsia="Montserrat" w:hAnsi="Montserrat"/>
          <w:sz w:val="22"/>
          <w:szCs w:val="22"/>
          <w:vertAlign w:val="baseline"/>
          <w:rtl w:val="0"/>
        </w:rPr>
        <w:t xml:space="preserve">tul desfăşoară activitatea atât în domenii de activitate eligibile conform Ghidului, cât şi în domenii de activitate neeligibile sau în </w:t>
      </w:r>
      <w:r w:rsidDel="00000000" w:rsidR="00000000" w:rsidRPr="00000000">
        <w:rPr>
          <w:rFonts w:ascii="Montserrat" w:cs="Montserrat" w:eastAsia="Montserrat" w:hAnsi="Montserrat"/>
          <w:sz w:val="22"/>
          <w:szCs w:val="22"/>
          <w:highlight w:val="white"/>
          <w:vertAlign w:val="baseline"/>
          <w:rtl w:val="0"/>
        </w:rPr>
        <w:t xml:space="preserve">sectoarele </w:t>
      </w:r>
      <w:r w:rsidDel="00000000" w:rsidR="00000000" w:rsidRPr="00000000">
        <w:rPr>
          <w:rFonts w:ascii="Montserrat" w:cs="Montserrat" w:eastAsia="Montserrat" w:hAnsi="Montserrat"/>
          <w:sz w:val="22"/>
          <w:szCs w:val="22"/>
          <w:vertAlign w:val="baseline"/>
          <w:rtl w:val="0"/>
        </w:rPr>
        <w:t xml:space="preserve">exceptate de la finanțare în condițiile Regulamentului (UE) 2023/2831 al Comisiei privind aplicarea articolelor 107 și 108 din Tratatul privind funcționarea Uniunii Europene ajutoarelor de minimis, poate beneficia de finanţare doar pentru domeniile de activitate eligibile, cu condiţia prezentării documentelor contabile care atestă separarea evidenţei acestor activităţi sau o distincție între conturi, astfel ca activitățile desfășurate în domeniile excluse din domeniul de aplicare să nu beneficieze de ajutoare de minimis. </w:t>
      </w:r>
    </w:p>
    <w:p w:rsidR="00000000" w:rsidDel="00000000" w:rsidP="00000000" w:rsidRDefault="00000000" w:rsidRPr="00000000" w14:paraId="00000032">
      <w:pPr>
        <w:spacing w:after="0" w:before="0" w:lineRule="auto"/>
        <w:jc w:val="both"/>
        <w:rPr>
          <w:rFonts w:ascii="Montserrat" w:cs="Montserrat" w:eastAsia="Montserrat" w:hAnsi="Montserrat"/>
          <w:b w:val="0"/>
          <w:bCs w:val="0"/>
          <w:sz w:val="22"/>
          <w:szCs w:val="22"/>
          <w:vertAlign w:val="baseline"/>
        </w:rPr>
      </w:pPr>
      <w:r w:rsidDel="00000000" w:rsidR="00000000" w:rsidRPr="00000000">
        <w:rPr>
          <w:rtl w:val="0"/>
        </w:rPr>
      </w:r>
    </w:p>
    <w:p w:rsidR="00000000" w:rsidDel="00000000" w:rsidP="00000000" w:rsidRDefault="00000000" w:rsidRPr="00000000" w14:paraId="00000033">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11) </w:t>
      </w:r>
      <w:r w:rsidDel="00000000" w:rsidR="00000000" w:rsidRPr="00000000">
        <w:rPr>
          <w:rFonts w:ascii="Montserrat" w:cs="Montserrat" w:eastAsia="Montserrat" w:hAnsi="Montserrat"/>
          <w:sz w:val="22"/>
          <w:szCs w:val="22"/>
          <w:vertAlign w:val="baseline"/>
          <w:rtl w:val="0"/>
        </w:rPr>
        <w:t xml:space="preserve">Ajutoarele de minimis se consideră acordate în momentul în care dreptul legal de a beneficia de aceste ajutoare este conferit întreprinderii în temeiul legislației naționale aplicabile, indiferent de data la care ajutoarele de minimis se plătesc întreprinderii respective. </w:t>
      </w:r>
    </w:p>
    <w:p w:rsidR="00000000" w:rsidDel="00000000" w:rsidP="00000000" w:rsidRDefault="00000000" w:rsidRPr="00000000" w14:paraId="00000034">
      <w:pPr>
        <w:spacing w:after="0" w:before="0" w:lineRule="auto"/>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vertAlign w:val="baseline"/>
          <w:rtl w:val="0"/>
        </w:rPr>
        <w:t xml:space="preserve">În cazul Programului Regional Nord-Est 2021-2027, data acordării ajutorului este data la care intră în vigoare contractul de finanțare aferent proiectului propus prin cererea de finanțare, indiferent de momentul efectuării plăților/ rambursărilor efective. </w:t>
      </w:r>
    </w:p>
    <w:p w:rsidR="00000000" w:rsidDel="00000000" w:rsidP="00000000" w:rsidRDefault="00000000" w:rsidRPr="00000000" w14:paraId="00000035">
      <w:pPr>
        <w:spacing w:after="0" w:before="0" w:lineRule="auto"/>
        <w:jc w:val="both"/>
        <w:rPr>
          <w:rFonts w:ascii="Montserrat" w:cs="Montserrat" w:eastAsia="Montserrat" w:hAnsi="Montserrat"/>
          <w:sz w:val="22"/>
          <w:szCs w:val="22"/>
        </w:rPr>
      </w:pPr>
      <w:r w:rsidDel="00000000" w:rsidR="00000000" w:rsidRPr="00000000">
        <w:rPr>
          <w:rtl w:val="0"/>
        </w:rPr>
      </w:r>
    </w:p>
    <w:p w:rsidR="00000000" w:rsidDel="00000000" w:rsidP="00000000" w:rsidRDefault="00000000" w:rsidRPr="00000000" w14:paraId="00000036">
      <w:pPr>
        <w:spacing w:after="0" w:before="0" w:lineRule="auto"/>
        <w:ind w:firstLine="720"/>
        <w:jc w:val="both"/>
        <w:rPr>
          <w:rFonts w:ascii="Montserrat" w:cs="Montserrat" w:eastAsia="Montserrat" w:hAnsi="Montserrat"/>
          <w:sz w:val="22"/>
          <w:szCs w:val="22"/>
          <w:vertAlign w:val="baseline"/>
        </w:rPr>
      </w:pPr>
      <w:r w:rsidDel="00000000" w:rsidR="00000000" w:rsidRPr="00000000">
        <w:rPr>
          <w:rFonts w:ascii="Montserrat" w:cs="Montserrat" w:eastAsia="Montserrat" w:hAnsi="Montserrat"/>
          <w:sz w:val="22"/>
          <w:szCs w:val="22"/>
          <w:rtl w:val="0"/>
        </w:rPr>
        <w:t xml:space="preserve">12) La semnarea Contractului de finanțare, pentru calcularea cuantumului ajutorului de minimis, se utilizează cursul InforEuro valabil la data semnării Contractului de finanțare.</w:t>
      </w:r>
      <w:r w:rsidDel="00000000" w:rsidR="00000000" w:rsidRPr="00000000">
        <w:rPr>
          <w:rtl w:val="0"/>
        </w:rPr>
      </w:r>
    </w:p>
    <w:sectPr>
      <w:headerReference r:id="rId7" w:type="first"/>
      <w:footerReference r:id="rId8" w:type="default"/>
      <w:footerReference r:id="rId9" w:type="first"/>
      <w:pgSz w:h="16838" w:w="11906" w:orient="portrait"/>
      <w:pgMar w:bottom="1134" w:top="1134" w:left="1134" w:right="1134" w:header="709"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righ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center"/>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Pr>
      <w:drawing>
        <wp:inline distB="0" distT="0" distL="114300" distR="114300">
          <wp:extent cx="6343650" cy="288925"/>
          <wp:effectExtent b="0" l="0" r="0" t="0"/>
          <wp:docPr id="102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6343650" cy="28892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0</wp:posOffset>
          </wp:positionV>
          <wp:extent cx="1076325" cy="1090930"/>
          <wp:effectExtent b="0" l="0" r="0" t="0"/>
          <wp:wrapSquare wrapText="bothSides" distB="0" distT="0" distL="114300" distR="114300"/>
          <wp:docPr id="102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76325" cy="10909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1720850</wp:posOffset>
          </wp:positionH>
          <wp:positionV relativeFrom="paragraph">
            <wp:posOffset>85725</wp:posOffset>
          </wp:positionV>
          <wp:extent cx="617855" cy="617855"/>
          <wp:effectExtent b="0" l="0" r="0" t="0"/>
          <wp:wrapSquare wrapText="bothSides" distB="0" distT="0" distL="114300" distR="114300"/>
          <wp:docPr id="103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617855" cy="6178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4794250</wp:posOffset>
          </wp:positionH>
          <wp:positionV relativeFrom="paragraph">
            <wp:posOffset>153035</wp:posOffset>
          </wp:positionV>
          <wp:extent cx="1092200" cy="466725"/>
          <wp:effectExtent b="0" l="0" r="0" t="0"/>
          <wp:wrapSquare wrapText="bothSides" distB="0" distT="0" distL="114300" distR="114300"/>
          <wp:docPr id="1029"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092200" cy="466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2844800</wp:posOffset>
          </wp:positionH>
          <wp:positionV relativeFrom="paragraph">
            <wp:posOffset>-12699</wp:posOffset>
          </wp:positionV>
          <wp:extent cx="1535430" cy="713740"/>
          <wp:effectExtent b="0" l="0" r="0" t="0"/>
          <wp:wrapSquare wrapText="bothSides" distB="0" distT="0" distL="114300" distR="114300"/>
          <wp:docPr id="1027"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1535430" cy="713740"/>
                  </a:xfrm>
                  <a:prstGeom prst="rect"/>
                  <a:ln/>
                </pic:spPr>
              </pic:pic>
            </a:graphicData>
          </a:graphic>
        </wp:anchor>
      </w:drawing>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20" w:before="12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rebuchet MS" w:cs="Trebuchet MS" w:eastAsia="Trebuchet MS" w:hAnsi="Trebuchet MS"/>
        <w:sz w:val="19"/>
        <w:szCs w:val="19"/>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lang w:val="pt_BR"/>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val="ro-RO"/>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after="120" w:before="120" w:line="1" w:lineRule="atLeast"/>
      <w:ind w:leftChars="-1" w:rightChars="0" w:firstLineChars="-1"/>
      <w:textDirection w:val="btLr"/>
      <w:textAlignment w:val="top"/>
      <w:outlineLvl w:val="0"/>
    </w:pPr>
    <w:rPr>
      <w:rFonts w:ascii="Trebuchet MS" w:eastAsia="Times New Roman" w:hAnsi="Trebuchet MS"/>
      <w:w w:val="100"/>
      <w:position w:val="-1"/>
      <w:szCs w:val="20"/>
      <w:effect w:val="none"/>
      <w:vertAlign w:val="baseline"/>
      <w:cs w:val="0"/>
      <w:em w:val="none"/>
      <w:lang w:bidi="ar-SA" w:eastAsia="en-US" w:val="ro-RO"/>
    </w:rPr>
  </w:style>
  <w:style w:type="character" w:styleId="CommentTextChar">
    <w:name w:val="Comment Text Char"/>
    <w:next w:val="CommentTextChar"/>
    <w:autoRedefine w:val="0"/>
    <w:hidden w:val="0"/>
    <w:qFormat w:val="0"/>
    <w:rPr>
      <w:rFonts w:ascii="Trebuchet MS" w:cs="Times New Roman" w:eastAsia="Times New Roman" w:hAnsi="Trebuchet MS"/>
      <w:w w:val="100"/>
      <w:position w:val="-1"/>
      <w:sz w:val="20"/>
      <w:szCs w:val="20"/>
      <w:effect w:val="none"/>
      <w:vertAlign w:val="baseline"/>
      <w:cs w:val="0"/>
      <w:em w:val="none"/>
      <w:lang w:val="ro-RO"/>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en-US" w:val="en-GB"/>
    </w:rPr>
  </w:style>
  <w:style w:type="paragraph" w:styleId="ListParagraph,Normalbullet2,body2,ListParagraph11,ListParagraph111,Antesdeenumeración,Listăcolorată-Accentuare11,Bullet,CitationList,ListParagraphcompact,Paragraphedeliste2,Referencelist,Bulletlist,NumberedList,ListParagraph1,List">
    <w:name w:val="List Paragraph,Normal bullet 2,body 2,List Paragraph11,List Paragraph111,Antes de enumeración,Listă colorată - Accentuare 11,Bullet,Citation List,List Paragraph compact,Paragraphe de liste 2,Reference list,Bullet list,Numbered List,List Paragraph1,List"/>
    <w:basedOn w:val="Normal"/>
    <w:next w:val="ListParagraph,Normalbullet2,body2,ListParagraph11,ListParagraph111,Antesdeenumeración,Listăcolorată-Accentuare11,Bullet,CitationList,ListParagraphcompact,Paragraphedeliste2,Referencelist,Bulletlist,NumberedList,ListParagraph1,List"/>
    <w:autoRedefine w:val="0"/>
    <w:hidden w:val="0"/>
    <w:qFormat w:val="0"/>
    <w:pPr>
      <w:suppressAutoHyphens w:val="1"/>
      <w:spacing w:after="120" w:before="120" w:line="1" w:lineRule="atLeast"/>
      <w:ind w:left="720" w:leftChars="-1" w:rightChars="0" w:firstLineChars="-1"/>
      <w:textDirection w:val="btLr"/>
      <w:textAlignment w:val="top"/>
      <w:outlineLvl w:val="0"/>
    </w:pPr>
    <w:rPr>
      <w:rFonts w:ascii="Trebuchet MS" w:eastAsia="Times New Roman" w:hAnsi="Trebuchet MS"/>
      <w:w w:val="100"/>
      <w:position w:val="-1"/>
      <w:szCs w:val="24"/>
      <w:effect w:val="none"/>
      <w:vertAlign w:val="baseline"/>
      <w:cs w:val="0"/>
      <w:em w:val="none"/>
      <w:lang w:bidi="ar-SA" w:eastAsia="en-US" w:val="ro-RO"/>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after="120" w:before="120" w:line="1" w:lineRule="atLeast"/>
      <w:ind w:leftChars="-1" w:rightChars="0" w:firstLineChars="-1"/>
      <w:textDirection w:val="btLr"/>
      <w:textAlignment w:val="top"/>
      <w:outlineLvl w:val="0"/>
    </w:pPr>
    <w:rPr>
      <w:rFonts w:ascii="Trebuchet MS" w:eastAsia="Times New Roman" w:hAnsi="Trebuchet MS"/>
      <w:w w:val="100"/>
      <w:position w:val="-1"/>
      <w:szCs w:val="24"/>
      <w:effect w:val="none"/>
      <w:vertAlign w:val="baseline"/>
      <w:cs w:val="0"/>
      <w:em w:val="none"/>
      <w:lang w:bidi="ar-SA" w:eastAsia="en-US" w:val="ro-RO"/>
    </w:rPr>
  </w:style>
  <w:style w:type="character" w:styleId="HeaderChar">
    <w:name w:val="Header Char"/>
    <w:next w:val="HeaderChar"/>
    <w:autoRedefine w:val="0"/>
    <w:hidden w:val="0"/>
    <w:qFormat w:val="0"/>
    <w:rPr>
      <w:rFonts w:ascii="Trebuchet MS" w:eastAsia="Times New Roman" w:hAnsi="Trebuchet MS"/>
      <w:w w:val="100"/>
      <w:position w:val="-1"/>
      <w:szCs w:val="24"/>
      <w:effect w:val="none"/>
      <w:vertAlign w:val="baseline"/>
      <w:cs w:val="0"/>
      <w:em w:val="none"/>
      <w:lang w:eastAsia="en-US" w:val="ro-RO"/>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after="120" w:before="120" w:line="1" w:lineRule="atLeast"/>
      <w:ind w:leftChars="-1" w:rightChars="0" w:firstLineChars="-1"/>
      <w:textDirection w:val="btLr"/>
      <w:textAlignment w:val="top"/>
      <w:outlineLvl w:val="0"/>
    </w:pPr>
    <w:rPr>
      <w:rFonts w:ascii="Trebuchet MS" w:eastAsia="Times New Roman" w:hAnsi="Trebuchet MS"/>
      <w:w w:val="100"/>
      <w:position w:val="-1"/>
      <w:szCs w:val="24"/>
      <w:effect w:val="none"/>
      <w:vertAlign w:val="baseline"/>
      <w:cs w:val="0"/>
      <w:em w:val="none"/>
      <w:lang w:bidi="ar-SA" w:eastAsia="en-US" w:val="ro-RO"/>
    </w:rPr>
  </w:style>
  <w:style w:type="character" w:styleId="FooterChar">
    <w:name w:val="Footer Char"/>
    <w:next w:val="FooterChar"/>
    <w:autoRedefine w:val="0"/>
    <w:hidden w:val="0"/>
    <w:qFormat w:val="0"/>
    <w:rPr>
      <w:rFonts w:ascii="Trebuchet MS" w:eastAsia="Times New Roman" w:hAnsi="Trebuchet MS"/>
      <w:w w:val="100"/>
      <w:position w:val="-1"/>
      <w:szCs w:val="24"/>
      <w:effect w:val="none"/>
      <w:vertAlign w:val="baseline"/>
      <w:cs w:val="0"/>
      <w:em w:val="none"/>
      <w:lang w:eastAsia="en-US" w:val="ro-RO"/>
    </w:rPr>
  </w:style>
  <w:style w:type="character" w:styleId="ListParagraphChar,Normalbullet2Char,body2Char,ListParagraph11Char,ListParagraph111Char,AntesdeenumeraciónChar,Listăcolorată-Accentuare11Char,BulletChar,CitationListChar,ListParagraphcompactChar,Paragraphedeliste2Char">
    <w:name w:val="List Paragraph Char,Normal bullet 2 Char,body 2 Char,List Paragraph11 Char,List Paragraph111 Char,Antes de enumeración Char,Listă colorată - Accentuare 11 Char,Bullet Char,Citation List Char,List Paragraph compact Char,Paragraphe de liste 2 Char"/>
    <w:next w:val="ListParagraphChar,Normalbullet2Char,body2Char,ListParagraph11Char,ListParagraph111Char,AntesdeenumeraciónChar,Listăcolorată-Accentuare11Char,BulletChar,CitationListChar,ListParagraphcompactChar,Paragraphedeliste2Char"/>
    <w:autoRedefine w:val="0"/>
    <w:hidden w:val="0"/>
    <w:qFormat w:val="0"/>
    <w:rPr>
      <w:rFonts w:ascii="Trebuchet MS" w:eastAsia="Times New Roman" w:hAnsi="Trebuchet MS"/>
      <w:w w:val="100"/>
      <w:position w:val="-1"/>
      <w:szCs w:val="24"/>
      <w:effect w:val="none"/>
      <w:vertAlign w:val="baseline"/>
      <w:cs w:val="0"/>
      <w:em w:val="none"/>
      <w:lang w:eastAsia="en-US" w:val="ro-RO"/>
    </w:rPr>
  </w:style>
  <w:style w:type="paragraph" w:styleId="FootnoteText,FootnoteTextCharChar,Fußnote,singlespace,footnotetext,FOOTNOTES,fn,Podrozdział,Footnote,stile1,Footnote1,Footnote2,Footnote3,Footnote4,Footnote5,Footnote6,Footnote7,Footnote8,Footnote9,Footnote10,Footnote11,fnChar,f">
    <w:name w:val="Footnote Text,Footnote Text Char Char,Fußnote,single space,footnote text,FOOTNOTES,fn,Podrozdział,Footnote,stile 1,Footnote1,Footnote2,Footnote3,Footnote4,Footnote5,Footnote6,Footnote7,Footnote8,Footnote9,Footnote10,Footnote11,fn Char,f"/>
    <w:basedOn w:val="Normal"/>
    <w:next w:val="FootnoteText,FootnoteTextCharChar,Fußnote,singlespace,footnotetext,FOOTNOTES,fn,Podrozdział,Footnote,stile1,Footnote1,Footnote2,Footnote3,Footnote4,Footnote5,Footnote6,Footnote7,Footnote8,Footnote9,Footnote10,Footnote11,fnChar,f"/>
    <w:autoRedefine w:val="0"/>
    <w:hidden w:val="0"/>
    <w:qFormat w:val="0"/>
    <w:pPr>
      <w:suppressAutoHyphens w:val="1"/>
      <w:spacing w:after="0" w:before="0" w:line="1" w:lineRule="atLeast"/>
      <w:ind w:leftChars="-1" w:rightChars="0" w:firstLineChars="-1"/>
      <w:textDirection w:val="btLr"/>
      <w:textAlignment w:val="top"/>
      <w:outlineLvl w:val="0"/>
    </w:pPr>
    <w:rPr>
      <w:rFonts w:ascii="Trebuchet MS" w:eastAsia="Times New Roman" w:hAnsi="Trebuchet MS"/>
      <w:w w:val="100"/>
      <w:position w:val="-1"/>
      <w:sz w:val="16"/>
      <w:szCs w:val="20"/>
      <w:effect w:val="none"/>
      <w:vertAlign w:val="baseline"/>
      <w:cs w:val="0"/>
      <w:em w:val="none"/>
      <w:lang w:bidi="ar-SA" w:eastAsia="en-US" w:val="ro-RO"/>
    </w:rPr>
  </w:style>
  <w:style w:type="character" w:styleId="FootnoteTextChar">
    <w:name w:val="Footnote Text Char"/>
    <w:next w:val="FootnoteTextChar"/>
    <w:autoRedefine w:val="0"/>
    <w:hidden w:val="0"/>
    <w:qFormat w:val="0"/>
    <w:rPr>
      <w:rFonts w:ascii="Trebuchet MS" w:eastAsia="Times New Roman" w:hAnsi="Trebuchet MS"/>
      <w:w w:val="100"/>
      <w:position w:val="-1"/>
      <w:effect w:val="none"/>
      <w:vertAlign w:val="baseline"/>
      <w:cs w:val="0"/>
      <w:em w:val="none"/>
      <w:lang w:eastAsia="en-US" w:val="ro-RO"/>
    </w:rPr>
  </w:style>
  <w:style w:type="character" w:styleId="FootnoteReference,Footnotesymbol,BVIfnr,16Point,Superscript6Point,ftref,BVIfnrChar1CharChar,FootnoteReferenceNumberCharCharChar,Times10PointCharCharChar,Exposant3PointCharCharChar,FootnotesymbolChar1CharChar,SUPERS,o">
    <w:name w:val="Footnote Reference,Footnote symbol,BVI fnr,16 Point,Superscript 6 Point,ftref,BVI fnr Char1 Char Char,Footnote Reference Number Char Char Char,Times 10 Point Char Char Char,Exposant 3 Point Char Char Char,Footnote symbol Char1 Char Char,SUPERS,o"/>
    <w:next w:val="FootnoteReference,Footnotesymbol,BVIfnr,16Point,Superscript6Point,ftref,BVIfnrChar1CharChar,FootnoteReferenceNumberCharCharChar,Times10PointCharCharChar,Exposant3PointCharCharChar,FootnotesymbolChar1CharChar,SUPERS,o"/>
    <w:autoRedefine w:val="0"/>
    <w:hidden w:val="0"/>
    <w:qFormat w:val="0"/>
    <w:rPr>
      <w:w w:val="100"/>
      <w:position w:val="-1"/>
      <w:effect w:val="none"/>
      <w:vertAlign w:val="superscript"/>
      <w:cs w:val="0"/>
      <w:em w:val="none"/>
      <w:lang/>
    </w:rPr>
  </w:style>
  <w:style w:type="character" w:styleId="FootnoteTextChar1,FootnoteTextCharCharChar,FußnoteChar,singlespaceChar,footnotetextChar,FOOTNOTESChar,fnChar1,PodrozdziałChar,FootnoteChar,stile1Char,Footnote1Char,Footnote2Char,Footnote3Char,Footnote4Char,Footnote5Char,fChar">
    <w:name w:val="Footnote Text Char1,Footnote Text Char Char Char,Fußnote Char,single space Char,footnote text Char,FOOTNOTES Char,fn Char1,Podrozdział Char,Footnote Char,stile 1 Char,Footnote1 Char,Footnote2 Char,Footnote3 Char,Footnote4 Char,Footnote5 Char,f Char"/>
    <w:next w:val="FootnoteTextChar1,FootnoteTextCharCharChar,FußnoteChar,singlespaceChar,footnotetextChar,FOOTNOTESChar,fnChar1,PodrozdziałChar,FootnoteChar,stile1Char,Footnote1Char,Footnote2Char,Footnote3Char,Footnote4Char,Footnote5Char,fChar"/>
    <w:autoRedefine w:val="0"/>
    <w:hidden w:val="0"/>
    <w:qFormat w:val="0"/>
    <w:rPr>
      <w:rFonts w:ascii="Trebuchet MS" w:eastAsia="Times New Roman" w:hAnsi="Trebuchet MS"/>
      <w:w w:val="100"/>
      <w:position w:val="-1"/>
      <w:sz w:val="16"/>
      <w:effect w:val="none"/>
      <w:vertAlign w:val="baseline"/>
      <w:cs w:val="0"/>
      <w:em w:val="none"/>
      <w:lang w:eastAsia="en-US" w:val="ro-RO"/>
    </w:rPr>
  </w:style>
  <w:style w:type="paragraph" w:styleId="BVIfnrChar1Char,FootnoteReferenceNumberCharChar,Times10PointCharChar,Exposant3PointCharChar,FootnotesymbolChar1Char,FootnotereferencenumberCharChar,fr">
    <w:name w:val="BVI fnr Char1 Char,Footnote Reference Number Char Char,Times 10 Point Char Char,Exposant 3 Point Char Char,Footnote symbol Char1 Char,Footnote reference number Char Char,fr"/>
    <w:basedOn w:val="Normal"/>
    <w:next w:val="Normal"/>
    <w:autoRedefine w:val="0"/>
    <w:hidden w:val="0"/>
    <w:qFormat w:val="0"/>
    <w:pPr>
      <w:suppressAutoHyphens w:val="1"/>
      <w:spacing w:after="160" w:before="0" w:line="240" w:lineRule="atLeast"/>
      <w:ind w:leftChars="-1" w:rightChars="0" w:firstLineChars="-1"/>
      <w:textDirection w:val="btLr"/>
      <w:textAlignment w:val="top"/>
      <w:outlineLvl w:val="0"/>
    </w:pPr>
    <w:rPr>
      <w:rFonts w:ascii="Calibri" w:eastAsia="Calibri" w:hAnsi="Calibri"/>
      <w:w w:val="100"/>
      <w:position w:val="-1"/>
      <w:szCs w:val="20"/>
      <w:effect w:val="none"/>
      <w:vertAlign w:val="superscript"/>
      <w:cs w:val="0"/>
      <w:em w:val="none"/>
      <w:lang w:bidi="ar-SA" w:eastAsia="en-GB" w:val="en-GB"/>
    </w:rPr>
  </w:style>
  <w:style w:type="paragraph" w:styleId="criterii">
    <w:name w:val="criterii"/>
    <w:basedOn w:val="Normal"/>
    <w:next w:val="criterii"/>
    <w:autoRedefine w:val="0"/>
    <w:hidden w:val="0"/>
    <w:qFormat w:val="0"/>
    <w:pPr>
      <w:numPr>
        <w:ilvl w:val="0"/>
        <w:numId w:val="23"/>
      </w:numPr>
      <w:shd w:color="auto" w:fill="e6e6e6" w:val="clear"/>
      <w:suppressAutoHyphens w:val="1"/>
      <w:spacing w:after="120" w:before="240" w:line="1" w:lineRule="atLeast"/>
      <w:ind w:leftChars="-1" w:rightChars="0" w:firstLineChars="-1"/>
      <w:jc w:val="both"/>
      <w:textDirection w:val="btLr"/>
      <w:textAlignment w:val="top"/>
      <w:outlineLvl w:val="0"/>
    </w:pPr>
    <w:rPr>
      <w:rFonts w:ascii="Trebuchet MS" w:eastAsia="Times New Roman" w:hAnsi="Trebuchet MS"/>
      <w:b w:val="1"/>
      <w:bCs w:val="1"/>
      <w:snapToGrid w:val="0"/>
      <w:w w:val="100"/>
      <w:position w:val="-1"/>
      <w:szCs w:val="24"/>
      <w:effect w:val="none"/>
      <w:vertAlign w:val="baseline"/>
      <w:cs w:val="0"/>
      <w:em w:val="none"/>
      <w:lang w:bidi="ar-SA" w:eastAsia="en-US" w:val="ro-RO"/>
    </w:rPr>
  </w:style>
  <w:style w:type="character" w:styleId="Heading2Char">
    <w:name w:val="Heading 2 Char"/>
    <w:next w:val="Heading2Char"/>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eastAsia="en-US" w:val="ro-RO"/>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paragraph" w:styleId="CM1">
    <w:name w:val="CM1"/>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auto"/>
      <w:w w:val="100"/>
      <w:position w:val="-1"/>
      <w:sz w:val="24"/>
      <w:szCs w:val="24"/>
      <w:effect w:val="none"/>
      <w:vertAlign w:val="baseline"/>
      <w:cs w:val="0"/>
      <w:em w:val="none"/>
      <w:lang w:bidi="ar-SA" w:eastAsia="en-GB" w:val="en-GB"/>
    </w:rPr>
  </w:style>
  <w:style w:type="paragraph" w:styleId="CM3">
    <w:name w:val="CM3"/>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auto"/>
      <w:w w:val="100"/>
      <w:position w:val="-1"/>
      <w:sz w:val="24"/>
      <w:szCs w:val="24"/>
      <w:effect w:val="none"/>
      <w:vertAlign w:val="baseline"/>
      <w:cs w:val="0"/>
      <w:em w:val="none"/>
      <w:lang w:bidi="ar-SA" w:eastAsia="en-GB" w:val="en-GB"/>
    </w:rPr>
  </w:style>
  <w:style w:type="paragraph" w:styleId="CM4">
    <w:name w:val="CM4"/>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auto"/>
      <w:w w:val="100"/>
      <w:position w:val="-1"/>
      <w:sz w:val="24"/>
      <w:szCs w:val="24"/>
      <w:effect w:val="none"/>
      <w:vertAlign w:val="baseline"/>
      <w:cs w:val="0"/>
      <w:em w:val="none"/>
      <w:lang w:bidi="ar-SA" w:eastAsia="en-GB" w:val="en-GB"/>
    </w:rPr>
  </w:style>
  <w:style w:type="character" w:styleId="tpt1">
    <w:name w:val="tpt1"/>
    <w:basedOn w:val="DefaultParagraphFont"/>
    <w:next w:val="tpt1"/>
    <w:autoRedefine w:val="0"/>
    <w:hidden w:val="0"/>
    <w:qFormat w:val="0"/>
    <w:rPr>
      <w:w w:val="100"/>
      <w:position w:val="-1"/>
      <w:effect w:val="none"/>
      <w:vertAlign w:val="baseline"/>
      <w:cs w:val="0"/>
      <w:em w:val="none"/>
      <w:lang/>
    </w:rPr>
  </w:style>
  <w:style w:type="character" w:styleId="tli1">
    <w:name w:val="tli1"/>
    <w:basedOn w:val="DefaultParagraphFont"/>
    <w:next w:val="tli1"/>
    <w:autoRedefine w:val="0"/>
    <w:hidden w:val="0"/>
    <w:qFormat w:val="0"/>
    <w:rPr>
      <w:w w:val="100"/>
      <w:position w:val="-1"/>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rFonts w:ascii="Trebuchet MS" w:eastAsia="Times New Roman" w:hAnsi="Trebuchet MS"/>
      <w:w w:val="100"/>
      <w:position w:val="-1"/>
      <w:szCs w:val="24"/>
      <w:effect w:val="none"/>
      <w:vertAlign w:val="baseline"/>
      <w:cs w:val="0"/>
      <w:em w:val="none"/>
      <w:lang w:bidi="ar-SA" w:eastAsia="en-US" w:val="ro-RO"/>
    </w:rPr>
  </w:style>
  <w:style w:type="paragraph" w:styleId="CommentSubject">
    <w:name w:val="Comment Subject"/>
    <w:basedOn w:val="CommentText"/>
    <w:next w:val="CommentText"/>
    <w:autoRedefine w:val="0"/>
    <w:hidden w:val="0"/>
    <w:qFormat w:val="1"/>
    <w:pPr>
      <w:suppressAutoHyphens w:val="1"/>
      <w:spacing w:after="120" w:before="120" w:line="1" w:lineRule="atLeast"/>
      <w:ind w:leftChars="-1" w:rightChars="0" w:firstLineChars="-1"/>
      <w:textDirection w:val="btLr"/>
      <w:textAlignment w:val="top"/>
      <w:outlineLvl w:val="0"/>
    </w:pPr>
    <w:rPr>
      <w:rFonts w:ascii="Trebuchet MS" w:eastAsia="Times New Roman" w:hAnsi="Trebuchet MS"/>
      <w:b w:val="1"/>
      <w:bCs w:val="1"/>
      <w:w w:val="100"/>
      <w:position w:val="-1"/>
      <w:szCs w:val="20"/>
      <w:effect w:val="none"/>
      <w:vertAlign w:val="baseline"/>
      <w:cs w:val="0"/>
      <w:em w:val="none"/>
      <w:lang w:bidi="ar-SA" w:eastAsia="en-US" w:val="ro-RO"/>
    </w:rPr>
  </w:style>
  <w:style w:type="character" w:styleId="CommentSubjectChar">
    <w:name w:val="Comment Subject Char"/>
    <w:next w:val="CommentSubjectChar"/>
    <w:autoRedefine w:val="0"/>
    <w:hidden w:val="0"/>
    <w:qFormat w:val="0"/>
    <w:rPr>
      <w:rFonts w:ascii="Trebuchet MS" w:cs="Times New Roman" w:eastAsia="Times New Roman" w:hAnsi="Trebuchet MS"/>
      <w:b w:val="1"/>
      <w:bCs w:val="1"/>
      <w:w w:val="100"/>
      <w:position w:val="-1"/>
      <w:sz w:val="20"/>
      <w:szCs w:val="20"/>
      <w:effect w:val="none"/>
      <w:vertAlign w:val="baseline"/>
      <w:cs w:val="0"/>
      <w:em w:val="none"/>
      <w:lang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jp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xP12nYjxsSgzpbhV3u+ApwRPw==">CgMxLjA4AHIhMXJJam9kVUNHVzNCanVEYXhKSno3aHNSVzY0amxaZm5B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2024-03-04T18:51:00Z</dcterms:created>
  <dc:creator>ADRNE Piatra-Neamt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str>a5624fefaf3d248a6cf06e471a19be9c360b1b51402306685159bb093129ceb4</vt:lpstr>
  </property>
</Properties>
</file>