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Apel de proiecte nr. </w:t>
      </w:r>
      <w:r w:rsidDel="00000000" w:rsidR="00000000" w:rsidRPr="00000000">
        <w:rPr>
          <w:rFonts w:ascii="Montserrat" w:cs="Montserrat" w:eastAsia="Montserrat" w:hAnsi="Montserrat"/>
          <w:rtl w:val="0"/>
        </w:rPr>
        <w:t xml:space="preserve">PR/NE/2026/P1/RSO1.3.1/2 - Microîntreprinderi</w:t>
      </w:r>
      <w:r w:rsidDel="00000000" w:rsidR="00000000" w:rsidRPr="00000000">
        <w:rPr>
          <w:rFonts w:ascii="Montserrat" w:cs="Montserrat" w:eastAsia="Montserrat" w:hAnsi="Montserrat"/>
          <w:rtl w:val="0"/>
        </w:rPr>
        <w:t xml:space="preserve">     </w:t>
        <w:tab/>
        <w:tab/>
      </w:r>
    </w:p>
    <w:p w:rsidR="00000000" w:rsidDel="00000000" w:rsidP="00000000" w:rsidRDefault="00000000" w:rsidRPr="00000000" w14:paraId="00000003">
      <w:pPr>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Anexa 8</w:t>
      </w:r>
    </w:p>
    <w:p w:rsidR="00000000" w:rsidDel="00000000" w:rsidP="00000000" w:rsidRDefault="00000000" w:rsidRPr="00000000" w14:paraId="00000004">
      <w:pPr>
        <w:spacing w:after="0" w:line="240" w:lineRule="auto"/>
        <w:jc w:val="center"/>
        <w:rPr/>
      </w:pPr>
      <w:r w:rsidDel="00000000" w:rsidR="00000000" w:rsidRPr="00000000">
        <w:rPr>
          <w:rFonts w:ascii="Montserrat" w:cs="Montserrat" w:eastAsia="Montserrat" w:hAnsi="Montserrat"/>
          <w:b w:val="1"/>
          <w:bCs w:val="1"/>
          <w:color w:val="000000"/>
          <w:rtl w:val="0"/>
        </w:rPr>
        <w:t xml:space="preserve">Reglementări europene și naționale, cadrul strategic, documente programatice aplicabile</w:t>
      </w:r>
      <w:r w:rsidDel="00000000" w:rsidR="00000000" w:rsidRPr="00000000">
        <w:rPr>
          <w:rtl w:val="0"/>
        </w:rPr>
      </w:r>
    </w:p>
    <w:p w:rsidR="00000000" w:rsidDel="00000000" w:rsidP="00000000" w:rsidRDefault="00000000" w:rsidRPr="00000000" w14:paraId="00000005">
      <w:pPr>
        <w:spacing w:after="120" w:before="12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6">
      <w:pPr>
        <w:spacing w:after="120" w:before="120" w:lineRule="auto"/>
        <w:jc w:val="both"/>
        <w:rPr>
          <w:rFonts w:ascii="Times New Roman" w:cs="Times New Roman" w:eastAsia="Times New Roman" w:hAnsi="Times New Roman"/>
        </w:rPr>
      </w:pPr>
      <w:r w:rsidDel="00000000" w:rsidR="00000000" w:rsidRPr="00000000">
        <w:rPr>
          <w:rFonts w:ascii="Montserrat" w:cs="Montserrat" w:eastAsia="Montserrat" w:hAnsi="Montserrat"/>
          <w:color w:val="000000"/>
          <w:rtl w:val="0"/>
        </w:rPr>
        <w:t xml:space="preserve">În elaborarea cererilor de finanțare aferente apelului de proiecte nr. </w:t>
      </w:r>
      <w:r w:rsidDel="00000000" w:rsidR="00000000" w:rsidRPr="00000000">
        <w:rPr>
          <w:rFonts w:ascii="Montserrat" w:cs="Montserrat" w:eastAsia="Montserrat" w:hAnsi="Montserrat"/>
          <w:i w:val="1"/>
          <w:iCs w:val="1"/>
          <w:rtl w:val="0"/>
        </w:rPr>
        <w:t xml:space="preserve">PR/NE/2026/P1/RSO1.3.1/2 - Microîntreprinderi</w:t>
      </w:r>
      <w:r w:rsidDel="00000000" w:rsidR="00000000" w:rsidRPr="00000000">
        <w:rPr>
          <w:rFonts w:ascii="Montserrat" w:cs="Montserrat" w:eastAsia="Montserrat" w:hAnsi="Montserrat"/>
          <w:color w:val="000000"/>
          <w:rtl w:val="0"/>
        </w:rPr>
        <w:t xml:space="preserve">, se vor avea în vedere atât reglementările europene și naționale în domeniu, cât și alte documente programatice și de planificare specifice la nivel european, național și regional, dintre care menționăm:</w:t>
      </w:r>
      <w:r w:rsidDel="00000000" w:rsidR="00000000" w:rsidRPr="00000000">
        <w:rPr>
          <w:rtl w:val="0"/>
        </w:rPr>
      </w:r>
    </w:p>
    <w:p w:rsidR="00000000" w:rsidDel="00000000" w:rsidP="00000000" w:rsidRDefault="00000000" w:rsidRPr="00000000" w14:paraId="00000007">
      <w:pPr>
        <w:spacing w:after="120" w:before="120" w:lineRule="auto"/>
        <w:jc w:val="both"/>
        <w:rPr>
          <w:rFonts w:ascii="Times New Roman" w:cs="Times New Roman" w:eastAsia="Times New Roman" w:hAnsi="Times New Roman"/>
        </w:rPr>
      </w:pPr>
      <w:bookmarkStart w:colFirst="0" w:colLast="0" w:name="_heading=h.8pmsy4vzq6kf" w:id="1"/>
      <w:bookmarkEnd w:id="1"/>
      <w:r w:rsidDel="00000000" w:rsidR="00000000" w:rsidRPr="00000000">
        <w:rPr>
          <w:rFonts w:ascii="Montserrat" w:cs="Montserrat" w:eastAsia="Montserrat" w:hAnsi="Montserrat"/>
          <w:b w:val="1"/>
          <w:bCs w:val="1"/>
          <w:color w:val="4472c4"/>
          <w:rtl w:val="0"/>
        </w:rPr>
        <w:t xml:space="preserve">REGLEMENTĂRI EUROPENE:</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Carta drepturilor fundamentale a Uniunii Europene (2012/C 326/02)</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09">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Convenția ONU privind Drepturile Persoanelor cu Dizabilități adoptată la 13 decembrie 2006</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de către Adunarea Generală a ONU</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0A">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79/7 a Consiliului din 19 decembrie 1978</w:t>
      </w:r>
      <w:r w:rsidDel="00000000" w:rsidR="00000000" w:rsidRPr="00000000">
        <w:rPr>
          <w:rFonts w:ascii="Montserrat" w:cs="Montserrat" w:eastAsia="Montserrat" w:hAnsi="Montserrat"/>
          <w:color w:val="000000"/>
          <w:rtl w:val="0"/>
        </w:rPr>
        <w:t xml:space="preserve"> privind aplicarea treptată a principiului egalității de tratament între bărbați și femei în domeniul securității sociale;</w:t>
      </w:r>
    </w:p>
    <w:p w:rsidR="00000000" w:rsidDel="00000000" w:rsidP="00000000" w:rsidRDefault="00000000" w:rsidRPr="00000000" w14:paraId="0000000B">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882/2019 a Parlamentului European și a Consiliului din 17 aprilie 2019</w:t>
      </w:r>
      <w:r w:rsidDel="00000000" w:rsidR="00000000" w:rsidRPr="00000000">
        <w:rPr>
          <w:rFonts w:ascii="Montserrat" w:cs="Montserrat" w:eastAsia="Montserrat" w:hAnsi="Montserrat"/>
          <w:color w:val="000000"/>
          <w:rtl w:val="0"/>
        </w:rPr>
        <w:t xml:space="preserve"> privind cerințele de accesibilitate aplicabile produselor și serviciilor;</w:t>
      </w:r>
    </w:p>
    <w:p w:rsidR="00000000" w:rsidDel="00000000" w:rsidP="00000000" w:rsidRDefault="00000000" w:rsidRPr="00000000" w14:paraId="0000000C">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2000/78/CE din 27 noiembrie 2000</w:t>
      </w:r>
      <w:r w:rsidDel="00000000" w:rsidR="00000000" w:rsidRPr="00000000">
        <w:rPr>
          <w:rFonts w:ascii="Montserrat" w:cs="Montserrat" w:eastAsia="Montserrat" w:hAnsi="Montserrat"/>
          <w:color w:val="000000"/>
          <w:rtl w:val="0"/>
        </w:rPr>
        <w:t xml:space="preserve"> de creare a unui cadru general în favoarea egalității de tratament în ceea ce privește încadrarea în muncă și ocuparea forței de muncă</w:t>
      </w:r>
    </w:p>
    <w:p w:rsidR="00000000" w:rsidDel="00000000" w:rsidP="00000000" w:rsidRDefault="00000000" w:rsidRPr="00000000" w14:paraId="0000000D">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43/2000 a Consiliului din 29 iunie 2000</w:t>
      </w:r>
      <w:r w:rsidDel="00000000" w:rsidR="00000000" w:rsidRPr="00000000">
        <w:rPr>
          <w:rFonts w:ascii="Montserrat" w:cs="Montserrat" w:eastAsia="Montserrat" w:hAnsi="Montserrat"/>
          <w:color w:val="000000"/>
          <w:rtl w:val="0"/>
        </w:rPr>
        <w:t xml:space="preserve">, cu privire la implementarea principiului tratamentului egal între persoane indiferent de originea rasială sau etnică;</w:t>
      </w:r>
    </w:p>
    <w:p w:rsidR="00000000" w:rsidDel="00000000" w:rsidP="00000000" w:rsidRDefault="00000000" w:rsidRPr="00000000" w14:paraId="0000000E">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113/2004 a Consiliului din 13 decembrie 2004</w:t>
      </w:r>
      <w:r w:rsidDel="00000000" w:rsidR="00000000" w:rsidRPr="00000000">
        <w:rPr>
          <w:rFonts w:ascii="Montserrat" w:cs="Montserrat" w:eastAsia="Montserrat" w:hAnsi="Montserrat"/>
          <w:color w:val="000000"/>
          <w:rtl w:val="0"/>
        </w:rPr>
        <w:t xml:space="preserve"> de aplicare a principiului egalității de tratament între femei și bărbați privind accesul la bunuri și servicii și furnizarea de bunuri și servicii;</w:t>
      </w:r>
    </w:p>
    <w:p w:rsidR="00000000" w:rsidDel="00000000" w:rsidP="00000000" w:rsidRDefault="00000000" w:rsidRPr="00000000" w14:paraId="0000000F">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Directiva (UE) 54/2006 a Parlamentului European și a Consiliului din 5 iulie 2006</w:t>
      </w:r>
      <w:r w:rsidDel="00000000" w:rsidR="00000000" w:rsidRPr="00000000">
        <w:rPr>
          <w:rFonts w:ascii="Montserrat" w:cs="Montserrat" w:eastAsia="Montserrat" w:hAnsi="Montserrat"/>
          <w:color w:val="000000"/>
          <w:rtl w:val="0"/>
        </w:rPr>
        <w:t xml:space="preserve"> privind punerea în aplicare a principiului egalității de șanse și al egalității de tratament între bărbați și femei în materie de încadrare în muncă și de muncă(reformă);</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Regulamentul (UE) 852/2020</w:t>
      </w:r>
      <w:r w:rsidDel="00000000" w:rsidR="00000000" w:rsidRPr="00000000">
        <w:rPr>
          <w:rFonts w:ascii="Montserrat" w:cs="Montserrat" w:eastAsia="Montserrat" w:hAnsi="Montserrat"/>
          <w:color w:val="000000"/>
          <w:rtl w:val="0"/>
        </w:rPr>
        <w:t xml:space="preserve"> al Parlamentului European și al Consiliului din 18 iunie 2020 privind instituirea unui cadru care să faciliteze investițiile durabile și de modificare a Regulamentului (UE) 2019/2088 și a actelor delegate subsecvente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Regulamentul (UE, Euratom) 2093/2020</w:t>
      </w:r>
      <w:r w:rsidDel="00000000" w:rsidR="00000000" w:rsidRPr="00000000">
        <w:rPr>
          <w:rFonts w:ascii="Montserrat" w:cs="Montserrat" w:eastAsia="Montserrat" w:hAnsi="Montserrat"/>
          <w:color w:val="000000"/>
          <w:rtl w:val="0"/>
        </w:rPr>
        <w:t xml:space="preserve"> AL CONSILIULUI din 17 decembrie 2020 de stabilire a cadrului financiar multianual pentru perioada 2021-2027</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Regulamentul (UE) 1058/2021 al Parlamentului European și al Consiliului din 24 iunie 2021</w:t>
      </w:r>
      <w:r w:rsidDel="00000000" w:rsidR="00000000" w:rsidRPr="00000000">
        <w:rPr>
          <w:rFonts w:ascii="Montserrat" w:cs="Montserrat" w:eastAsia="Montserrat" w:hAnsi="Montserrat"/>
          <w:color w:val="000000"/>
          <w:rtl w:val="0"/>
        </w:rPr>
        <w:t xml:space="preserve"> privind Fondul european de dezvoltare regională și Fondul de coeziune, cu modificările și completările ulterioare;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Regulamentul (UE) 1060/2021 al Parlamentului European și al Consiliului din 24 iunie 2021</w:t>
      </w:r>
      <w:r w:rsidDel="00000000" w:rsidR="00000000" w:rsidRPr="00000000">
        <w:rPr>
          <w:rFonts w:ascii="Montserrat" w:cs="Montserrat" w:eastAsia="Montserrat" w:hAnsi="Montserrat"/>
          <w:color w:val="000000"/>
          <w:rtl w:val="0"/>
        </w:rPr>
        <w:t xml:space="preserve">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Regulamentul (UE) 2831/2023 al Comisiei din 13 decembrie 2023</w:t>
      </w:r>
      <w:r w:rsidDel="00000000" w:rsidR="00000000" w:rsidRPr="00000000">
        <w:rPr>
          <w:rFonts w:ascii="Montserrat" w:cs="Montserrat" w:eastAsia="Montserrat" w:hAnsi="Montserrat"/>
          <w:color w:val="000000"/>
          <w:rtl w:val="0"/>
        </w:rPr>
        <w:t xml:space="preserve"> privind aplicarea articolelor 107 și 108 din Tratatul privind funcționarea Uniunii Europene ajutoarelor de minimis;</w:t>
      </w:r>
    </w:p>
    <w:p w:rsidR="00000000" w:rsidDel="00000000" w:rsidP="00000000" w:rsidRDefault="00000000" w:rsidRPr="00000000" w14:paraId="00000015">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Comunicare a Comisiei C(2021) 1054 final din 12 februarie 2021</w:t>
      </w:r>
      <w:r w:rsidDel="00000000" w:rsidR="00000000" w:rsidRPr="00000000">
        <w:rPr>
          <w:rFonts w:ascii="Montserrat" w:cs="Montserrat" w:eastAsia="Montserrat" w:hAnsi="Montserrat"/>
          <w:color w:val="000000"/>
          <w:rtl w:val="0"/>
        </w:rPr>
        <w:t xml:space="preserve">. Orientări tehnice privind aplicarea principiului de ”a nu prejudicia în mod semnificativ” în temeiul Regulamentului privind Mecanismul de redresare și reziliență;</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Comunicarea Comisiei C(2021) 373/1 16 septembrie 2021</w:t>
      </w:r>
      <w:r w:rsidDel="00000000" w:rsidR="00000000" w:rsidRPr="00000000">
        <w:rPr>
          <w:rFonts w:ascii="Montserrat" w:cs="Montserrat" w:eastAsia="Montserrat" w:hAnsi="Montserrat"/>
          <w:color w:val="000000"/>
          <w:rtl w:val="0"/>
        </w:rPr>
        <w:t xml:space="preserve">. Orientări tehnice referitoare la imunizarea infrastructurii la schimbările climatice în perioada 2021-2027;</w:t>
      </w:r>
    </w:p>
    <w:p w:rsidR="00000000" w:rsidDel="00000000" w:rsidP="00000000" w:rsidRDefault="00000000" w:rsidRPr="00000000" w14:paraId="00000017">
      <w:pPr>
        <w:spacing w:after="120" w:before="120" w:lineRule="auto"/>
        <w:ind w:left="720" w:firstLine="0"/>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8">
      <w:pPr>
        <w:spacing w:after="120" w:before="120" w:lineRule="auto"/>
        <w:ind w:left="360" w:firstLine="0"/>
        <w:jc w:val="both"/>
        <w:rPr>
          <w:rFonts w:ascii="Montserrat" w:cs="Montserrat" w:eastAsia="Montserrat" w:hAnsi="Montserrat"/>
          <w:b w:val="1"/>
          <w:bCs w:val="1"/>
          <w:color w:val="4472c4"/>
        </w:rPr>
      </w:pPr>
      <w:r w:rsidDel="00000000" w:rsidR="00000000" w:rsidRPr="00000000">
        <w:rPr>
          <w:rFonts w:ascii="Montserrat" w:cs="Montserrat" w:eastAsia="Montserrat" w:hAnsi="Montserrat"/>
          <w:b w:val="1"/>
          <w:bCs w:val="1"/>
          <w:color w:val="4472c4"/>
          <w:rtl w:val="0"/>
        </w:rPr>
        <w:t xml:space="preserve">REGLEMENTĂRI NAȚIONALE:</w:t>
      </w:r>
    </w:p>
    <w:p w:rsidR="00000000" w:rsidDel="00000000" w:rsidP="00000000" w:rsidRDefault="00000000" w:rsidRPr="00000000" w14:paraId="00000019">
      <w:pPr>
        <w:numPr>
          <w:ilvl w:val="0"/>
          <w:numId w:val="1"/>
        </w:numPr>
        <w:spacing w:after="240" w:before="24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Hotărârea Guvernului nr. 907 din 29 noiembrie 2016</w:t>
      </w:r>
      <w:r w:rsidDel="00000000" w:rsidR="00000000" w:rsidRPr="00000000">
        <w:rPr>
          <w:rFonts w:ascii="Montserrat" w:cs="Montserrat" w:eastAsia="Montserrat" w:hAnsi="Montserrat"/>
          <w:rtl w:val="0"/>
        </w:rPr>
        <w:t xml:space="preserve"> privind etapele de elaborare și conținutul-cadru al documentațiilor tehnico-economice aferente obiectivelor/proiectelor de investiții finanțate din fonduri publice, cu modificările și completările ulterioare;</w:t>
      </w:r>
    </w:p>
    <w:p w:rsidR="00000000" w:rsidDel="00000000" w:rsidP="00000000" w:rsidRDefault="00000000" w:rsidRPr="00000000" w14:paraId="0000001A">
      <w:pPr>
        <w:numPr>
          <w:ilvl w:val="0"/>
          <w:numId w:val="1"/>
        </w:numPr>
        <w:spacing w:after="120" w:before="12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Hotărârea Guvernului nr. 873 din 6 iulie 2022</w:t>
      </w:r>
      <w:r w:rsidDel="00000000" w:rsidR="00000000" w:rsidRPr="00000000">
        <w:rPr>
          <w:rFonts w:ascii="Montserrat" w:cs="Montserrat" w:eastAsia="Montserrat" w:hAnsi="Montserrat"/>
          <w:rtl w:val="0"/>
        </w:rPr>
        <w:t xml:space="preserve"> pentru stabilirea cadrului legal privind eligibilitatea cheltuielilor efectuate de beneficiari în cadrul operaţiunilor finanțate în perioada de programare 2021-2027 prin Fondul european de dezvoltare regională, Fondul social european Plus, Fondul de coeziune şi Fondul pentru o tranziţie justă;</w:t>
      </w:r>
    </w:p>
    <w:p w:rsidR="00000000" w:rsidDel="00000000" w:rsidP="00000000" w:rsidRDefault="00000000" w:rsidRPr="00000000" w14:paraId="0000001B">
      <w:pPr>
        <w:numPr>
          <w:ilvl w:val="0"/>
          <w:numId w:val="1"/>
        </w:numPr>
        <w:spacing w:after="240" w:before="24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Legea nr. 10</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Montserrat" w:cs="Montserrat" w:eastAsia="Montserrat" w:hAnsi="Montserrat"/>
          <w:b w:val="1"/>
          <w:bCs w:val="1"/>
          <w:rtl w:val="0"/>
        </w:rPr>
        <w:t xml:space="preserve">din 18 ianuarie 1995 </w:t>
      </w:r>
      <w:r w:rsidDel="00000000" w:rsidR="00000000" w:rsidRPr="00000000">
        <w:rPr>
          <w:rFonts w:ascii="Montserrat" w:cs="Montserrat" w:eastAsia="Montserrat" w:hAnsi="Montserrat"/>
          <w:rtl w:val="0"/>
        </w:rPr>
        <w:t xml:space="preserve">privind calitatea în construcții, cu modificările și completările ulterioare;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31 din 16 noiembrie 1990</w:t>
      </w:r>
      <w:r w:rsidDel="00000000" w:rsidR="00000000" w:rsidRPr="00000000">
        <w:rPr>
          <w:rFonts w:ascii="Montserrat" w:cs="Montserrat" w:eastAsia="Montserrat" w:hAnsi="Montserrat"/>
          <w:color w:val="000000"/>
          <w:rtl w:val="0"/>
        </w:rPr>
        <w:t xml:space="preserve"> privind societățile, cu modificările și completările ulterioare;</w:t>
      </w:r>
    </w:p>
    <w:p w:rsidR="00000000" w:rsidDel="00000000" w:rsidP="00000000" w:rsidRDefault="00000000" w:rsidRPr="00000000" w14:paraId="0000001D">
      <w:pPr>
        <w:numPr>
          <w:ilvl w:val="0"/>
          <w:numId w:val="1"/>
        </w:numPr>
        <w:spacing w:after="240" w:before="24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Legea nr. 50 din 29 iulie 1991</w:t>
      </w:r>
      <w:r w:rsidDel="00000000" w:rsidR="00000000" w:rsidRPr="00000000">
        <w:rPr>
          <w:rFonts w:ascii="Montserrat" w:cs="Montserrat" w:eastAsia="Montserrat" w:hAnsi="Montserrat"/>
          <w:rtl w:val="0"/>
        </w:rPr>
        <w:t xml:space="preserve"> privind autorizarea executării lucrărilor de construcții, cu modificările și completările ulterioare;</w:t>
      </w:r>
      <w:r w:rsidDel="00000000" w:rsidR="00000000" w:rsidRPr="00000000">
        <w:rPr>
          <w:rtl w:val="0"/>
        </w:rPr>
      </w:r>
    </w:p>
    <w:p w:rsidR="00000000" w:rsidDel="00000000" w:rsidP="00000000" w:rsidRDefault="00000000" w:rsidRPr="00000000" w14:paraId="0000001E">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202 din 19 aprilie 2002</w:t>
      </w:r>
      <w:r w:rsidDel="00000000" w:rsidR="00000000" w:rsidRPr="00000000">
        <w:rPr>
          <w:rFonts w:ascii="Montserrat" w:cs="Montserrat" w:eastAsia="Montserrat" w:hAnsi="Montserrat"/>
          <w:color w:val="000000"/>
          <w:rtl w:val="0"/>
        </w:rPr>
        <w:t xml:space="preserve"> privind egalitatea de șanse între femei și bărbați, cu modificările și completările ulterioare;</w:t>
      </w:r>
    </w:p>
    <w:p w:rsidR="00000000" w:rsidDel="00000000" w:rsidP="00000000" w:rsidRDefault="00000000" w:rsidRPr="00000000" w14:paraId="0000001F">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500 din 13 august 2002 </w:t>
      </w:r>
      <w:r w:rsidDel="00000000" w:rsidR="00000000" w:rsidRPr="00000000">
        <w:rPr>
          <w:rFonts w:ascii="Montserrat" w:cs="Montserrat" w:eastAsia="Montserrat" w:hAnsi="Montserrat"/>
          <w:color w:val="000000"/>
          <w:rtl w:val="0"/>
        </w:rPr>
        <w:t xml:space="preserve">privind finanțele publice,</w:t>
      </w:r>
      <w:r w:rsidDel="00000000" w:rsidR="00000000" w:rsidRPr="00000000">
        <w:rPr>
          <w:rFonts w:ascii="Montserrat" w:cs="Montserrat" w:eastAsia="Montserrat" w:hAnsi="Montserrat"/>
          <w:b w:val="1"/>
          <w:bCs w:val="1"/>
          <w:color w:val="000000"/>
          <w:rtl w:val="0"/>
        </w:rPr>
        <w:t xml:space="preserve"> </w:t>
      </w:r>
      <w:r w:rsidDel="00000000" w:rsidR="00000000" w:rsidRPr="00000000">
        <w:rPr>
          <w:rFonts w:ascii="Montserrat" w:cs="Montserrat" w:eastAsia="Montserrat" w:hAnsi="Montserrat"/>
          <w:color w:val="000000"/>
          <w:rtl w:val="0"/>
        </w:rPr>
        <w:t xml:space="preserve">cu modificările și completările ulterioare;</w:t>
      </w:r>
    </w:p>
    <w:p w:rsidR="00000000" w:rsidDel="00000000" w:rsidP="00000000" w:rsidRDefault="00000000" w:rsidRPr="00000000" w14:paraId="00000020">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315</w:t>
      </w:r>
      <w:r w:rsidDel="00000000" w:rsidR="00000000" w:rsidRPr="00000000">
        <w:rPr>
          <w:rFonts w:ascii="Trebuchet MS" w:cs="Trebuchet MS" w:eastAsia="Trebuchet MS" w:hAnsi="Trebuchet MS"/>
          <w:color w:val="000000"/>
          <w:sz w:val="20"/>
          <w:szCs w:val="20"/>
          <w:rtl w:val="0"/>
        </w:rPr>
        <w:t xml:space="preserve"> </w:t>
      </w:r>
      <w:r w:rsidDel="00000000" w:rsidR="00000000" w:rsidRPr="00000000">
        <w:rPr>
          <w:rFonts w:ascii="Montserrat" w:cs="Montserrat" w:eastAsia="Montserrat" w:hAnsi="Montserrat"/>
          <w:b w:val="1"/>
          <w:bCs w:val="1"/>
          <w:color w:val="000000"/>
          <w:rtl w:val="0"/>
        </w:rPr>
        <w:t xml:space="preserve">din</w:t>
      </w:r>
      <w:r w:rsidDel="00000000" w:rsidR="00000000" w:rsidRPr="00000000">
        <w:rPr>
          <w:rFonts w:ascii="Trebuchet MS" w:cs="Trebuchet MS" w:eastAsia="Trebuchet MS" w:hAnsi="Trebuchet MS"/>
          <w:color w:val="000000"/>
          <w:sz w:val="20"/>
          <w:szCs w:val="20"/>
          <w:rtl w:val="0"/>
        </w:rPr>
        <w:t xml:space="preserve"> </w:t>
      </w:r>
      <w:r w:rsidDel="00000000" w:rsidR="00000000" w:rsidRPr="00000000">
        <w:rPr>
          <w:rFonts w:ascii="Montserrat" w:cs="Montserrat" w:eastAsia="Montserrat" w:hAnsi="Montserrat"/>
          <w:b w:val="1"/>
          <w:bCs w:val="1"/>
          <w:color w:val="000000"/>
          <w:rtl w:val="0"/>
        </w:rPr>
        <w:t xml:space="preserve">28 iunie 2004 </w:t>
      </w:r>
      <w:r w:rsidDel="00000000" w:rsidR="00000000" w:rsidRPr="00000000">
        <w:rPr>
          <w:rFonts w:ascii="Montserrat" w:cs="Montserrat" w:eastAsia="Montserrat" w:hAnsi="Montserrat"/>
          <w:color w:val="000000"/>
          <w:rtl w:val="0"/>
        </w:rPr>
        <w:t xml:space="preserve">privind dezvoltarea regională în România, cu modificările și completările ulterioare;</w:t>
      </w:r>
    </w:p>
    <w:p w:rsidR="00000000" w:rsidDel="00000000" w:rsidP="00000000" w:rsidRDefault="00000000" w:rsidRPr="00000000" w14:paraId="00000021">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346 din 14 iulie 2004</w:t>
      </w:r>
      <w:r w:rsidDel="00000000" w:rsidR="00000000" w:rsidRPr="00000000">
        <w:rPr>
          <w:rFonts w:ascii="Montserrat" w:cs="Montserrat" w:eastAsia="Montserrat" w:hAnsi="Montserrat"/>
          <w:color w:val="000000"/>
          <w:rtl w:val="0"/>
        </w:rPr>
        <w:t xml:space="preserve"> privind stimularea înființării și dezvoltării întreprinderilor mici și mijlocii, cu modificările și completările ulterioare;</w:t>
      </w:r>
    </w:p>
    <w:p w:rsidR="00000000" w:rsidDel="00000000" w:rsidP="00000000" w:rsidRDefault="00000000" w:rsidRPr="00000000" w14:paraId="00000022">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286 din 24 iulie 2009</w:t>
      </w:r>
      <w:r w:rsidDel="00000000" w:rsidR="00000000" w:rsidRPr="00000000">
        <w:rPr>
          <w:rFonts w:ascii="Montserrat" w:cs="Montserrat" w:eastAsia="Montserrat" w:hAnsi="Montserrat"/>
          <w:color w:val="000000"/>
          <w:rtl w:val="0"/>
        </w:rPr>
        <w:t xml:space="preserve"> privind Codul Penal,</w:t>
      </w:r>
      <w:r w:rsidDel="00000000" w:rsidR="00000000" w:rsidRPr="00000000">
        <w:rPr>
          <w:rFonts w:ascii="Montserrat" w:cs="Montserrat" w:eastAsia="Montserrat" w:hAnsi="Montserrat"/>
          <w:b w:val="1"/>
          <w:bCs w:val="1"/>
          <w:color w:val="000000"/>
          <w:rtl w:val="0"/>
        </w:rPr>
        <w:t xml:space="preserve"> </w:t>
      </w:r>
      <w:r w:rsidDel="00000000" w:rsidR="00000000" w:rsidRPr="00000000">
        <w:rPr>
          <w:rFonts w:ascii="Montserrat" w:cs="Montserrat" w:eastAsia="Montserrat" w:hAnsi="Montserrat"/>
          <w:color w:val="000000"/>
          <w:rtl w:val="0"/>
        </w:rPr>
        <w:t xml:space="preserve">cu modificările și completările ulterioare;</w:t>
      </w:r>
    </w:p>
    <w:p w:rsidR="00000000" w:rsidDel="00000000" w:rsidP="00000000" w:rsidRDefault="00000000" w:rsidRPr="00000000" w14:paraId="00000023">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292</w:t>
      </w:r>
      <w:r w:rsidDel="00000000" w:rsidR="00000000" w:rsidRPr="00000000">
        <w:rPr>
          <w:rFonts w:ascii="Trebuchet MS" w:cs="Trebuchet MS" w:eastAsia="Trebuchet MS" w:hAnsi="Trebuchet MS"/>
          <w:color w:val="000000"/>
          <w:sz w:val="20"/>
          <w:szCs w:val="20"/>
          <w:rtl w:val="0"/>
        </w:rPr>
        <w:t xml:space="preserve"> </w:t>
      </w:r>
      <w:r w:rsidDel="00000000" w:rsidR="00000000" w:rsidRPr="00000000">
        <w:rPr>
          <w:rFonts w:ascii="Montserrat" w:cs="Montserrat" w:eastAsia="Montserrat" w:hAnsi="Montserrat"/>
          <w:b w:val="1"/>
          <w:bCs w:val="1"/>
          <w:color w:val="000000"/>
          <w:rtl w:val="0"/>
        </w:rPr>
        <w:t xml:space="preserve">din 3 decembrie 2018 </w:t>
      </w:r>
      <w:r w:rsidDel="00000000" w:rsidR="00000000" w:rsidRPr="00000000">
        <w:rPr>
          <w:rFonts w:ascii="Montserrat" w:cs="Montserrat" w:eastAsia="Montserrat" w:hAnsi="Montserrat"/>
          <w:color w:val="000000"/>
          <w:rtl w:val="0"/>
        </w:rPr>
        <w:t xml:space="preserve">privind evaluarea impactului anumitor proiecte publice și private asupra mediului;</w:t>
      </w:r>
    </w:p>
    <w:p w:rsidR="00000000" w:rsidDel="00000000" w:rsidP="00000000" w:rsidRDefault="00000000" w:rsidRPr="00000000" w14:paraId="00000024">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Legea nr. 265 din 22 iulie 2022</w:t>
      </w:r>
      <w:r w:rsidDel="00000000" w:rsidR="00000000" w:rsidRPr="00000000">
        <w:rPr>
          <w:rFonts w:ascii="Montserrat" w:cs="Montserrat" w:eastAsia="Montserrat" w:hAnsi="Montserrat"/>
          <w:color w:val="000000"/>
          <w:rtl w:val="0"/>
        </w:rPr>
        <w:t xml:space="preserve"> privind registrul comerțului și pentru modificarea și completarea altor acte normative cu incidență asupra înregistrării în registrul comerțului</w:t>
      </w:r>
    </w:p>
    <w:p w:rsidR="00000000" w:rsidDel="00000000" w:rsidP="00000000" w:rsidRDefault="00000000" w:rsidRPr="00000000" w14:paraId="00000025">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Ordonanța nr. 137/2000</w:t>
      </w:r>
      <w:r w:rsidDel="00000000" w:rsidR="00000000" w:rsidRPr="00000000">
        <w:rPr>
          <w:rFonts w:ascii="Montserrat" w:cs="Montserrat" w:eastAsia="Montserrat" w:hAnsi="Montserrat"/>
          <w:color w:val="000000"/>
          <w:rtl w:val="0"/>
        </w:rPr>
        <w:t xml:space="preserve"> privind prevenirea și sancționarea tuturor formelor de discriminare;</w:t>
      </w:r>
    </w:p>
    <w:p w:rsidR="00000000" w:rsidDel="00000000" w:rsidP="00000000" w:rsidRDefault="00000000" w:rsidRPr="00000000" w14:paraId="00000026">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Ordonanța de Urgență a Guvernului nr. 61/2008</w:t>
      </w:r>
      <w:r w:rsidDel="00000000" w:rsidR="00000000" w:rsidRPr="00000000">
        <w:rPr>
          <w:rFonts w:ascii="Montserrat" w:cs="Montserrat" w:eastAsia="Montserrat" w:hAnsi="Montserrat"/>
          <w:color w:val="000000"/>
          <w:rtl w:val="0"/>
        </w:rPr>
        <w:t xml:space="preserve"> privind implementarea principiului egalității de tratament între femei și bărbați în ceea ce privește accesul la bunuri și servicii și furnizarea de bunuri și servicii, cu modificările și completările ulterioare;</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Ordonanță de Urgență a Guvernului nr. 66/2011</w:t>
      </w:r>
      <w:r w:rsidDel="00000000" w:rsidR="00000000" w:rsidRPr="00000000">
        <w:rPr>
          <w:rFonts w:ascii="Montserrat" w:cs="Montserrat" w:eastAsia="Montserrat" w:hAnsi="Montserrat"/>
          <w:color w:val="000000"/>
          <w:rtl w:val="0"/>
        </w:rPr>
        <w:t xml:space="preserve"> privind prevenirea, constatarea și sancționarea neregulilor apărute în obținerea și utilizarea fondurilor europene și/sau a fondurilor publice naționale aferente acestora;</w:t>
      </w:r>
    </w:p>
    <w:p w:rsidR="00000000" w:rsidDel="00000000" w:rsidP="00000000" w:rsidRDefault="00000000" w:rsidRPr="00000000" w14:paraId="00000028">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Ordonanța de Urgență a Guvernului nr. 122/2020</w:t>
      </w:r>
      <w:r w:rsidDel="00000000" w:rsidR="00000000" w:rsidRPr="00000000">
        <w:rPr>
          <w:rFonts w:ascii="Montserrat" w:cs="Montserrat" w:eastAsia="Montserrat" w:hAnsi="Montserrat"/>
          <w:color w:val="000000"/>
          <w:rtl w:val="0"/>
        </w:rPr>
        <w:t xml:space="preserve"> privind unele măsuri pentru asigurarea eficientizării procesului decizional al fondurilor externe nerambursabile destinate dezvoltării regionale în România;</w:t>
      </w:r>
    </w:p>
    <w:p w:rsidR="00000000" w:rsidDel="00000000" w:rsidP="00000000" w:rsidRDefault="00000000" w:rsidRPr="00000000" w14:paraId="00000029">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Ordonanța de Urgență a Guvernului nr. 133/2021</w:t>
      </w:r>
      <w:r w:rsidDel="00000000" w:rsidR="00000000" w:rsidRPr="00000000">
        <w:rPr>
          <w:rFonts w:ascii="Montserrat" w:cs="Montserrat" w:eastAsia="Montserrat" w:hAnsi="Montserrat"/>
          <w:color w:val="000000"/>
          <w:rtl w:val="0"/>
        </w:rPr>
        <w:t xml:space="preserve"> privind gestionarea financiară a fondurilor europene în perioada de programare 2021-2027 alocate României din Fondul european de dezvoltare regională, Fondul de coeziune, Fondul social european Plus, Fondul pentru o tranziție justă;</w:t>
      </w:r>
    </w:p>
    <w:p w:rsidR="00000000" w:rsidDel="00000000" w:rsidP="00000000" w:rsidRDefault="00000000" w:rsidRPr="00000000" w14:paraId="0000002A">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Ordonanță de Urgență a Guvernului nr. 23/2023 </w:t>
      </w:r>
      <w:r w:rsidDel="00000000" w:rsidR="00000000" w:rsidRPr="00000000">
        <w:rPr>
          <w:rFonts w:ascii="Montserrat" w:cs="Montserrat" w:eastAsia="Montserrat" w:hAnsi="Montserrat"/>
          <w:color w:val="000000"/>
          <w:rtl w:val="0"/>
        </w:rPr>
        <w:t xml:space="preserve">privind instituirea unor măsuri de simplificare și digitalizare  pentru gestionarea fondurilor europene aferente Politicii de coeziune 2021-2027, cu modificările și completările ulterioare;</w:t>
      </w:r>
    </w:p>
    <w:p w:rsidR="00000000" w:rsidDel="00000000" w:rsidP="00000000" w:rsidRDefault="00000000" w:rsidRPr="00000000" w14:paraId="0000002B">
      <w:pPr>
        <w:numPr>
          <w:ilvl w:val="0"/>
          <w:numId w:val="1"/>
        </w:numPr>
        <w:spacing w:after="120" w:before="120" w:line="240" w:lineRule="auto"/>
        <w:ind w:left="720" w:hanging="360"/>
        <w:jc w:val="both"/>
        <w:rPr>
          <w:rFonts w:ascii="Montserrat" w:cs="Montserrat" w:eastAsia="Montserrat" w:hAnsi="Montserrat"/>
          <w:color w:val="000000"/>
        </w:rPr>
      </w:pPr>
      <w:bookmarkStart w:colFirst="0" w:colLast="0" w:name="_heading=h.vjm7g3pgfjc2" w:id="2"/>
      <w:bookmarkEnd w:id="2"/>
      <w:r w:rsidDel="00000000" w:rsidR="00000000" w:rsidRPr="00000000">
        <w:rPr>
          <w:rFonts w:ascii="Montserrat" w:cs="Montserrat" w:eastAsia="Montserrat" w:hAnsi="Montserrat"/>
          <w:b w:val="1"/>
          <w:bCs w:val="1"/>
          <w:color w:val="000000"/>
          <w:rtl w:val="0"/>
        </w:rPr>
        <w:t xml:space="preserve">Ordonanţa de Urgenţă a Guvernului nr. 113/2023</w:t>
      </w:r>
      <w:r w:rsidDel="00000000" w:rsidR="00000000" w:rsidRPr="00000000">
        <w:rPr>
          <w:rFonts w:ascii="Montserrat" w:cs="Montserrat" w:eastAsia="Montserrat" w:hAnsi="Montserrat"/>
          <w:color w:val="000000"/>
          <w:rtl w:val="0"/>
        </w:rPr>
        <w:t xml:space="preserve"> privind modificarea unor acte normative în domeniul fondurilor externe nerambursabile aferente perioadei de programare 2021-2027;</w:t>
      </w:r>
    </w:p>
    <w:p w:rsidR="00000000" w:rsidDel="00000000" w:rsidP="00000000" w:rsidRDefault="00000000" w:rsidRPr="00000000" w14:paraId="0000002C">
      <w:pPr>
        <w:numPr>
          <w:ilvl w:val="0"/>
          <w:numId w:val="1"/>
        </w:numP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Ordinul nr. 269 din 20 februarie 2020</w:t>
      </w:r>
      <w:r w:rsidDel="00000000" w:rsidR="00000000" w:rsidRPr="00000000">
        <w:rPr>
          <w:rFonts w:ascii="Montserrat" w:cs="Montserrat" w:eastAsia="Montserrat" w:hAnsi="Montserrat"/>
          <w:color w:val="000000"/>
          <w:rtl w:val="0"/>
        </w:rPr>
        <w:t xml:space="preserve">, al Ministerului Mediului, Apelor și Pădurilor privind aprobarea ghidului general aplicabil etapelor procedurii de evaluare a impactului asupra mediului, a ghidului pentru evaluarea impactului asupra mediului în context transfrontalier și a altor ghiduri specifice pentru diferite domenii și categorii de proiecte;</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Ordinul nr. 1777 din 3 mai 2023</w:t>
      </w:r>
      <w:r w:rsidDel="00000000" w:rsidR="00000000" w:rsidRPr="00000000">
        <w:rPr>
          <w:rFonts w:ascii="Montserrat" w:cs="Montserrat" w:eastAsia="Montserrat" w:hAnsi="Montserrat"/>
          <w:color w:val="000000"/>
          <w:rtl w:val="0"/>
        </w:rPr>
        <w:t xml:space="preserve"> privind aprobarea conținutului/modelului/ 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 – 2027.</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2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Ordinul ministrului investițiilor și proiectelor europene nr. 6.059 din 2024</w:t>
      </w:r>
      <w:r w:rsidDel="00000000" w:rsidR="00000000" w:rsidRPr="00000000">
        <w:rPr>
          <w:rFonts w:ascii="Montserrat" w:cs="Montserrat" w:eastAsia="Montserrat" w:hAnsi="Montserrat"/>
          <w:color w:val="000000"/>
          <w:rtl w:val="0"/>
        </w:rPr>
        <w:t xml:space="preserve"> privind modificarea anexei la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2021—2027, precum și pentru modificarea anexei la Ordinul ministrului investițiilor și proiectelor europene nr. 2.228/2023 pentru aprobarea modelului deciziei de finanțare prevăzut la art. 14 alin. (2) din Ordonanța de urgență a Guvernului nr. 23/2023 privind instituirea unor măsuri de simplificare și digitalizare pentru gestionarea fondurilor europene aferente Politicii de coeziune 2021—2027.</w:t>
      </w:r>
    </w:p>
    <w:p w:rsidR="00000000" w:rsidDel="00000000" w:rsidP="00000000" w:rsidRDefault="00000000" w:rsidRPr="00000000" w14:paraId="0000002F">
      <w:pPr>
        <w:spacing w:after="120" w:before="12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30">
      <w:pPr>
        <w:spacing w:after="120" w:before="120" w:lineRule="auto"/>
        <w:rPr>
          <w:rFonts w:ascii="Times New Roman" w:cs="Times New Roman" w:eastAsia="Times New Roman" w:hAnsi="Times New Roman"/>
        </w:rPr>
      </w:pPr>
      <w:r w:rsidDel="00000000" w:rsidR="00000000" w:rsidRPr="00000000">
        <w:rPr>
          <w:rFonts w:ascii="Montserrat" w:cs="Montserrat" w:eastAsia="Montserrat" w:hAnsi="Montserrat"/>
          <w:b w:val="1"/>
          <w:bCs w:val="1"/>
          <w:color w:val="4472c4"/>
          <w:rtl w:val="0"/>
        </w:rPr>
        <w:t xml:space="preserve">DOCUMENTE PROGRAMATICE (PROGRAME, STRATEGII, PLANURI):</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before="120" w:line="24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Programul Regional al Regiunii de Dezvoltare Nord-Est 2021-2027;</w:t>
      </w:r>
    </w:p>
    <w:p w:rsidR="00000000" w:rsidDel="00000000" w:rsidP="00000000" w:rsidRDefault="00000000" w:rsidRPr="00000000" w14:paraId="00000032">
      <w:pPr>
        <w:spacing w:after="120" w:before="120" w:lineRule="auto"/>
        <w:jc w:val="both"/>
        <w:rPr>
          <w:rFonts w:ascii="Montserrat" w:cs="Montserrat" w:eastAsia="Montserrat" w:hAnsi="Montserrat"/>
          <w:sz w:val="28"/>
          <w:szCs w:val="28"/>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284" w:top="284" w:left="567" w:right="567" w:header="51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Trebuchet MS"/>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290830"/>
          <wp:effectExtent b="0" l="0" r="0" t="0"/>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40220" cy="29083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290830"/>
          <wp:effectExtent b="0" l="0" r="0" t="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40220" cy="2908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94361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40220" cy="9436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left="720" w:hanging="360"/>
    </w:pPr>
    <w:rPr>
      <w:rFonts w:ascii="Arial" w:cs="Arial" w:eastAsia="Arial" w:hAnsi="Arial"/>
      <w:b w:val="1"/>
      <w:bCs w:val="1"/>
      <w:sz w:val="32"/>
      <w:szCs w:val="32"/>
    </w:rPr>
  </w:style>
  <w:style w:type="paragraph" w:styleId="Heading2">
    <w:name w:val="heading 2"/>
    <w:basedOn w:val="Normal"/>
    <w:next w:val="Normal"/>
    <w:pPr>
      <w:keepNext w:val="1"/>
      <w:spacing w:after="60" w:before="240" w:line="240" w:lineRule="auto"/>
      <w:ind w:left="1440" w:hanging="360"/>
    </w:pPr>
    <w:rPr>
      <w:rFonts w:ascii="Arial" w:cs="Arial" w:eastAsia="Arial" w:hAnsi="Arial"/>
      <w:sz w:val="28"/>
      <w:szCs w:val="28"/>
    </w:rPr>
  </w:style>
  <w:style w:type="paragraph" w:styleId="Heading3">
    <w:name w:val="heading 3"/>
    <w:basedOn w:val="Normal"/>
    <w:next w:val="Normal"/>
    <w:pPr>
      <w:keepNext w:val="1"/>
      <w:spacing w:after="60" w:before="240" w:line="240" w:lineRule="auto"/>
      <w:ind w:left="2880" w:hanging="360"/>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Header">
    <w:name w:val="header"/>
    <w:basedOn w:val="Normal"/>
    <w:link w:val="HeaderChar"/>
    <w:uiPriority w:val="99"/>
    <w:unhideWhenUsed w:val="1"/>
    <w:rsid w:val="00C219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2191D"/>
  </w:style>
  <w:style w:type="paragraph" w:styleId="Footer">
    <w:name w:val="footer"/>
    <w:basedOn w:val="Normal"/>
    <w:link w:val="FooterChar"/>
    <w:uiPriority w:val="99"/>
    <w:unhideWhenUsed w:val="1"/>
    <w:rsid w:val="00C219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2191D"/>
  </w:style>
  <w:style w:type="character" w:styleId="Heading1Char" w:customStyle="1">
    <w:name w:val="Heading 1 Char"/>
    <w:basedOn w:val="DefaultParagraphFont"/>
    <w:link w:val="Heading1"/>
    <w:rsid w:val="005E5391"/>
    <w:rPr>
      <w:rFonts w:ascii="Arial" w:cs="Arial" w:eastAsia="Times New Roman" w:hAnsi="Arial"/>
      <w:b w:val="1"/>
      <w:bCs w:val="1"/>
      <w:kern w:val="32"/>
      <w:sz w:val="32"/>
      <w:szCs w:val="32"/>
      <w:lang w:val="ro-RO"/>
    </w:rPr>
  </w:style>
  <w:style w:type="character" w:styleId="Heading2Char" w:customStyle="1">
    <w:name w:val="Heading 2 Char"/>
    <w:basedOn w:val="DefaultParagraphFont"/>
    <w:link w:val="Heading2"/>
    <w:rsid w:val="005E5391"/>
    <w:rPr>
      <w:rFonts w:ascii="Arial" w:cs="Arial" w:eastAsia="Times New Roman" w:hAnsi="Arial"/>
      <w:sz w:val="28"/>
      <w:szCs w:val="28"/>
      <w:lang w:val="ro-RO"/>
    </w:rPr>
  </w:style>
  <w:style w:type="character" w:styleId="Heading3Char" w:customStyle="1">
    <w:name w:val="Heading 3 Char"/>
    <w:basedOn w:val="DefaultParagraphFont"/>
    <w:link w:val="Heading3"/>
    <w:rsid w:val="005E5391"/>
    <w:rPr>
      <w:rFonts w:ascii="Arial" w:cs="Arial" w:eastAsia="Times New Roman" w:hAnsi="Arial"/>
      <w:b w:val="1"/>
      <w:bCs w:val="1"/>
      <w:sz w:val="20"/>
      <w:szCs w:val="26"/>
      <w:lang w:val="ro-RO"/>
    </w:rPr>
  </w:style>
  <w:style w:type="paragraph" w:styleId="ListParagraph">
    <w:name w:val="List Paragraph"/>
    <w:aliases w:val="Akapit z listą BS,Outlines a.b.c.,List_Paragraph,Multilevel para_II,Akapit z lista BS,List Paragraph compact,Normal bullet 2,Paragraphe de liste 2,Reference list,Bullet list,Numbered List,List Paragraph1,1st level - Bullet List Paragraph"/>
    <w:basedOn w:val="Normal"/>
    <w:link w:val="ListParagraphChar"/>
    <w:uiPriority w:val="34"/>
    <w:qFormat w:val="1"/>
    <w:rsid w:val="005E5391"/>
    <w:pPr>
      <w:spacing w:after="0" w:line="276" w:lineRule="auto"/>
      <w:ind w:left="720"/>
      <w:contextualSpacing w:val="1"/>
    </w:pPr>
    <w:rPr>
      <w:rFonts w:ascii="Times New Roman" w:cs="Times New Roman" w:hAnsi="Times New Roman"/>
      <w:sz w:val="20"/>
      <w:szCs w:val="20"/>
      <w:lang w:val="ro-RO"/>
    </w:rPr>
  </w:style>
  <w:style w:type="character" w:styleId="ListParagraphChar" w:customStyle="1">
    <w:name w:val="List Paragraph Char"/>
    <w:aliases w:val="Akapit z listą BS Char,Outlines a.b.c. Char,List_Paragraph Char,Multilevel para_II Char,Akapit z lista BS Char,List Paragraph compact Char,Normal bullet 2 Char,Paragraphe de liste 2 Char,Reference list Char,Bullet list Char"/>
    <w:link w:val="ListParagraph"/>
    <w:uiPriority w:val="34"/>
    <w:qFormat w:val="1"/>
    <w:locked w:val="1"/>
    <w:rsid w:val="005E5391"/>
    <w:rPr>
      <w:rFonts w:ascii="Times New Roman" w:cs="Times New Roman" w:eastAsia="Calibri" w:hAnsi="Times New Roman"/>
      <w:sz w:val="20"/>
      <w:szCs w:val="20"/>
      <w:lang w:eastAsia="ro-RO" w:val="ro-RO"/>
    </w:rPr>
  </w:style>
  <w:style w:type="paragraph" w:styleId="eval" w:customStyle="1">
    <w:name w:val="eval"/>
    <w:basedOn w:val="Heading3"/>
    <w:rsid w:val="005E5391"/>
    <w:pPr>
      <w:numPr>
        <w:ilvl w:val="4"/>
      </w:numPr>
      <w:tabs>
        <w:tab w:val="num" w:pos="3600"/>
      </w:tabs>
    </w:pPr>
  </w:style>
  <w:style w:type="table" w:styleId="TableGrid">
    <w:name w:val="Table Grid"/>
    <w:basedOn w:val="TableNormal"/>
    <w:uiPriority w:val="39"/>
    <w:rsid w:val="005E5391"/>
    <w:pPr>
      <w:spacing w:after="0" w:line="240" w:lineRule="auto"/>
    </w:pPr>
    <w:rPr>
      <w:lang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FoodNote"/>
    <w:basedOn w:val="Normal"/>
    <w:link w:val="FootnoteTextChar"/>
    <w:unhideWhenUsed w:val="1"/>
    <w:qFormat w:val="1"/>
    <w:rsid w:val="005E5391"/>
    <w:pPr>
      <w:spacing w:after="0" w:line="240" w:lineRule="auto"/>
    </w:pPr>
    <w:rPr>
      <w:sz w:val="20"/>
      <w:szCs w:val="20"/>
      <w:lang w:val="ro-RO"/>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qFormat w:val="1"/>
    <w:rsid w:val="005E5391"/>
    <w:rPr>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val="1"/>
    <w:qFormat w:val="1"/>
    <w:rsid w:val="005E5391"/>
    <w:rPr>
      <w:vertAlign w:val="superscript"/>
    </w:rPr>
  </w:style>
  <w:style w:type="paragraph" w:styleId="BVIfnrChar1Char" w:customStyle="1">
    <w:name w:val="BVI fnr Char1 Char"/>
    <w:aliases w:val="Footnote Reference Number Char Char,Times 10 Point Char Char,Exposant 3 Point Char Char,Footnote symbol Char1 Char,Footnote reference number Char Char,fr"/>
    <w:basedOn w:val="Normal"/>
    <w:next w:val="Normal"/>
    <w:link w:val="FootnoteReference"/>
    <w:qFormat w:val="1"/>
    <w:rsid w:val="005E5391"/>
    <w:pPr>
      <w:spacing w:line="240" w:lineRule="exact"/>
    </w:pPr>
    <w:rPr>
      <w:vertAlign w:val="superscript"/>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4F666D"/>
    <w:pPr>
      <w:spacing w:after="0" w:line="240" w:lineRule="auto"/>
    </w:pPr>
  </w:style>
  <w:style w:type="paragraph" w:styleId="CommentSubject">
    <w:name w:val="annotation subject"/>
    <w:basedOn w:val="CommentText"/>
    <w:next w:val="CommentText"/>
    <w:link w:val="CommentSubjectChar"/>
    <w:uiPriority w:val="99"/>
    <w:semiHidden w:val="1"/>
    <w:unhideWhenUsed w:val="1"/>
    <w:rsid w:val="00A308DB"/>
    <w:rPr>
      <w:b w:val="1"/>
      <w:bCs w:val="1"/>
    </w:rPr>
  </w:style>
  <w:style w:type="character" w:styleId="CommentSubjectChar" w:customStyle="1">
    <w:name w:val="Comment Subject Char"/>
    <w:basedOn w:val="CommentTextChar"/>
    <w:link w:val="CommentSubject"/>
    <w:uiPriority w:val="99"/>
    <w:semiHidden w:val="1"/>
    <w:rsid w:val="00A308D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92KW7qyt0OBu0tPI/yeMqWiNw==">CgMxLjAyCGguZ2pkZ3hzMg5oLjhwbXN5NHZ6cTZrZjIOaC52am03ZzNwZ2ZqYzI4AHIhMVJ0cy16VnBtVFVwY1VpcEJ1c3B0NXh1RDdYY0pBdWFB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2024-07-18T07:24:00Z</dcterms:created>
  <dc:creator>Simona Popa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33d5870c7daee1833dbc933b37175019bac3289a69332e1dcc1a94d354716917</vt:lpwstr>
  </property>
</Properties>
</file>